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40"/>
      </w:tblGrid>
      <w:tr w:rsidR="00347688" w:rsidRPr="00C619BF" w:rsidTr="00347688">
        <w:tc>
          <w:tcPr>
            <w:tcW w:w="4839" w:type="dxa"/>
          </w:tcPr>
          <w:p w:rsidR="00347688" w:rsidRPr="00993D4B" w:rsidRDefault="00347688" w:rsidP="0034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347688" w:rsidRPr="00993D4B" w:rsidRDefault="00347688" w:rsidP="00C619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до рішення </w:t>
            </w:r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Кропивницької районної ради № </w:t>
            </w:r>
            <w:r w:rsidR="00C61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61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22.09.2023р.</w:t>
            </w:r>
          </w:p>
        </w:tc>
      </w:tr>
    </w:tbl>
    <w:p w:rsidR="005874D5" w:rsidRPr="00993D4B" w:rsidRDefault="005874D5" w:rsidP="0034768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347688" w:rsidRPr="00993D4B" w:rsidRDefault="00B30C1E" w:rsidP="003476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B30C1E" w:rsidRDefault="00347688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підтримки діяльності </w:t>
      </w:r>
    </w:p>
    <w:p w:rsidR="00347688" w:rsidRPr="00993D4B" w:rsidRDefault="00B30C1E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="00347688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2023</w:t>
      </w:r>
      <w:r>
        <w:rPr>
          <w:rFonts w:ascii="Times New Roman" w:hAnsi="Times New Roman" w:cs="Times New Roman"/>
          <w:sz w:val="28"/>
          <w:szCs w:val="28"/>
          <w:lang w:val="uk-UA"/>
        </w:rPr>
        <w:t>-2025</w:t>
      </w:r>
      <w:r w:rsidR="00347688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оки</w:t>
      </w:r>
    </w:p>
    <w:p w:rsidR="00347688" w:rsidRPr="00A93E4B" w:rsidRDefault="00347688" w:rsidP="00DC138A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sz w:val="28"/>
          <w:szCs w:val="28"/>
          <w:lang w:val="uk-UA"/>
        </w:rPr>
        <w:t>І. Паспорт Програми</w:t>
      </w:r>
    </w:p>
    <w:tbl>
      <w:tblPr>
        <w:tblStyle w:val="a3"/>
        <w:tblW w:w="0" w:type="auto"/>
        <w:tblLook w:val="04A0"/>
      </w:tblPr>
      <w:tblGrid>
        <w:gridCol w:w="846"/>
        <w:gridCol w:w="4819"/>
        <w:gridCol w:w="4014"/>
      </w:tblGrid>
      <w:tr w:rsidR="00347688" w:rsidRPr="00993D4B" w:rsidTr="00347688">
        <w:tc>
          <w:tcPr>
            <w:tcW w:w="846" w:type="dxa"/>
          </w:tcPr>
          <w:p w:rsidR="00347688" w:rsidRPr="00993D4B" w:rsidRDefault="00347688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014" w:type="dxa"/>
          </w:tcPr>
          <w:p w:rsidR="00347688" w:rsidRPr="00993D4B" w:rsidRDefault="00B30C1E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</w:t>
            </w:r>
            <w:r w:rsidR="00347688"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рада</w:t>
            </w:r>
          </w:p>
        </w:tc>
      </w:tr>
      <w:tr w:rsidR="00347688" w:rsidRPr="00035718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47688"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014" w:type="dxa"/>
          </w:tcPr>
          <w:p w:rsidR="00347688" w:rsidRPr="00993D4B" w:rsidRDefault="00B04952" w:rsidP="00B30C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</w:t>
            </w: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рада</w:t>
            </w:r>
          </w:p>
        </w:tc>
      </w:tr>
      <w:tr w:rsidR="00347688" w:rsidRPr="00035718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47688"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014" w:type="dxa"/>
          </w:tcPr>
          <w:p w:rsidR="00347688" w:rsidRPr="00993D4B" w:rsidRDefault="00B04952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</w:t>
            </w: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рада</w:t>
            </w:r>
          </w:p>
        </w:tc>
      </w:tr>
      <w:tr w:rsidR="00347688" w:rsidRPr="00035718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4014" w:type="dxa"/>
          </w:tcPr>
          <w:p w:rsidR="00347688" w:rsidRPr="00993D4B" w:rsidRDefault="00B04952" w:rsidP="00B30C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</w:t>
            </w: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рада</w:t>
            </w:r>
          </w:p>
        </w:tc>
      </w:tr>
      <w:tr w:rsidR="00347688" w:rsidRPr="00C619BF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014" w:type="dxa"/>
          </w:tcPr>
          <w:p w:rsidR="00347688" w:rsidRPr="00993D4B" w:rsidRDefault="00B30C1E" w:rsidP="00B30C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Депутатський  корпус та в</w:t>
            </w: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иконавчий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Кропивницької районної ради</w:t>
            </w:r>
          </w:p>
        </w:tc>
      </w:tr>
      <w:tr w:rsidR="00347688" w:rsidRPr="00993D4B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014" w:type="dxa"/>
          </w:tcPr>
          <w:p w:rsidR="00347688" w:rsidRPr="00993D4B" w:rsidRDefault="00B30C1E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2023-2025 роки</w:t>
            </w:r>
          </w:p>
        </w:tc>
      </w:tr>
      <w:tr w:rsidR="00347688" w:rsidRPr="00993D4B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Програми:</w:t>
            </w:r>
          </w:p>
        </w:tc>
        <w:tc>
          <w:tcPr>
            <w:tcW w:w="4014" w:type="dxa"/>
          </w:tcPr>
          <w:p w:rsidR="00347688" w:rsidRPr="00993D4B" w:rsidRDefault="00B30C1E" w:rsidP="00CA29B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надходжень</w:t>
            </w:r>
            <w:r w:rsidR="008130D2"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7688" w:rsidRPr="00C619BF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</w:tcPr>
          <w:p w:rsidR="00347688" w:rsidRPr="00993D4B" w:rsidRDefault="00347688" w:rsidP="00DC2A5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014" w:type="dxa"/>
          </w:tcPr>
          <w:p w:rsidR="00347688" w:rsidRPr="00993D4B" w:rsidRDefault="00B30C1E" w:rsidP="00DC2A5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Державний, обласний</w:t>
            </w:r>
            <w:r w:rsidR="00DC2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місцеві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  <w:r w:rsidR="00DC2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інші джерела не заборонені законодавством</w:t>
            </w:r>
          </w:p>
        </w:tc>
      </w:tr>
      <w:tr w:rsidR="00347688" w:rsidRPr="00C619BF" w:rsidTr="00347688">
        <w:tc>
          <w:tcPr>
            <w:tcW w:w="846" w:type="dxa"/>
          </w:tcPr>
          <w:p w:rsidR="00347688" w:rsidRPr="00993D4B" w:rsidRDefault="00B30C1E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47688"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138A" w:rsidRPr="00993D4B" w:rsidRDefault="00DC138A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38A" w:rsidRPr="00993D4B" w:rsidRDefault="00DC138A" w:rsidP="00DC138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  <w:p w:rsidR="00B30C1E" w:rsidRDefault="00B30C1E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7688" w:rsidRPr="00993D4B" w:rsidRDefault="00347688" w:rsidP="00DC138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 в тому числі:</w:t>
            </w:r>
          </w:p>
        </w:tc>
        <w:tc>
          <w:tcPr>
            <w:tcW w:w="4014" w:type="dxa"/>
          </w:tcPr>
          <w:p w:rsidR="00347688" w:rsidRDefault="00CA29B8" w:rsidP="00B30C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рік – </w:t>
            </w:r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250,00 </w:t>
            </w:r>
            <w:proofErr w:type="spellStart"/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0C1E" w:rsidRDefault="00B30C1E" w:rsidP="00B30C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рік – </w:t>
            </w:r>
            <w:r w:rsidR="00035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0C1E" w:rsidRDefault="00B30C1E" w:rsidP="00B30C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рік – </w:t>
            </w:r>
            <w:r w:rsidR="00035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0C1E" w:rsidRPr="00993D4B" w:rsidRDefault="00035718" w:rsidP="00B30C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12</w:t>
            </w:r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50,00 </w:t>
            </w:r>
            <w:proofErr w:type="spellStart"/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B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30C1E" w:rsidRDefault="00B30C1E" w:rsidP="008130D2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C1E" w:rsidRDefault="00B30C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47688" w:rsidRPr="00A93E4B" w:rsidRDefault="00DC138A" w:rsidP="008130D2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DC138A" w:rsidRPr="00993D4B" w:rsidRDefault="00DC138A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фінансової підтримки діяльності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2023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-2025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відповідно до Бюджетного Кодексу України та Закону України «Про місцеве самоврядування в Україні».</w:t>
      </w:r>
    </w:p>
    <w:p w:rsidR="00DC138A" w:rsidRPr="00993D4B" w:rsidRDefault="00DC138A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Прийняття та реалізація Законів України «Про внесення змін до Бюджетного Кодексу України» та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обмежили джерела наповнення районного бюджету.</w:t>
      </w:r>
    </w:p>
    <w:p w:rsidR="00DC138A" w:rsidRPr="00993D4B" w:rsidRDefault="00DC138A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Кропивницька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не може повноцінно виконувати свої конституційні повноваження та повноваження передбачені Законом України «Про місцеве самоврядування в Україні». Наповнення районного бюджету не покриває видатків на забезпечення виконання повноважень депутатів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матеріального та ресурсного забезпечення виконавчого апарату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Кропивницької  районної ради,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видатків на оплату комунальних послуг адміністративної будівлі та матеріально-технічної бази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Кропивницької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 xml:space="preserve"> а також утримання комунального майна спільної власності територіальних громад, сіл, селищ, міст Кропивницького району що залишилось у власності Кропивницької районної ради.</w:t>
      </w:r>
    </w:p>
    <w:p w:rsidR="00DC138A" w:rsidRPr="00993D4B" w:rsidRDefault="000C3C70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Пропонована Програма передбачає здійснення видатків на покращенн</w:t>
      </w:r>
      <w:r w:rsidR="00CA29B8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я матеріально-технічної бази, на оплату комунальних послуг та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на оплату праці працівн</w:t>
      </w:r>
      <w:r w:rsidR="00CA29B8" w:rsidRPr="00993D4B">
        <w:rPr>
          <w:rFonts w:ascii="Times New Roman" w:hAnsi="Times New Roman" w:cs="Times New Roman"/>
          <w:sz w:val="28"/>
          <w:szCs w:val="28"/>
          <w:lang w:val="uk-UA"/>
        </w:rPr>
        <w:t>иків</w:t>
      </w:r>
      <w:r w:rsidR="00035718">
        <w:rPr>
          <w:rFonts w:ascii="Times New Roman" w:hAnsi="Times New Roman" w:cs="Times New Roman"/>
          <w:sz w:val="28"/>
          <w:szCs w:val="28"/>
          <w:lang w:val="uk-UA"/>
        </w:rPr>
        <w:t>,оплата судових зборів та стягнень,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 xml:space="preserve"> вжиття ліквідаційних заходів з припинення районних рад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 xml:space="preserve"> які приєдналися до</w:t>
      </w:r>
      <w:r w:rsidR="00CA29B8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="00CA29B8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 </w:t>
      </w:r>
    </w:p>
    <w:p w:rsidR="000C3C70" w:rsidRPr="00993D4B" w:rsidRDefault="000C3C70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недостатність коштів районного бюджету 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 xml:space="preserve">як джерел фінансування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Кропивницької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ради, виникла необхідність розроблення, затвердження та виконання Програми фінансової підтримки діяльності 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2023</w:t>
      </w:r>
      <w:r w:rsidR="00A93E4B">
        <w:rPr>
          <w:rFonts w:ascii="Times New Roman" w:hAnsi="Times New Roman" w:cs="Times New Roman"/>
          <w:sz w:val="28"/>
          <w:szCs w:val="28"/>
          <w:lang w:val="uk-UA"/>
        </w:rPr>
        <w:t>-2025 роки.</w:t>
      </w:r>
    </w:p>
    <w:p w:rsidR="000C3C70" w:rsidRPr="00A93E4B" w:rsidRDefault="000C3C70" w:rsidP="000C3C7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sz w:val="28"/>
          <w:szCs w:val="28"/>
          <w:lang w:val="uk-UA"/>
        </w:rPr>
        <w:t>ІІІ. Визначення мети Програми</w:t>
      </w:r>
    </w:p>
    <w:p w:rsidR="000C3C70" w:rsidRPr="00993D4B" w:rsidRDefault="000C3C70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розроблена з метою забезпечення виконання на належному рівні повноважень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прийняття ефективних управлінських рішень, створення належних умов праці працівників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</w:t>
      </w:r>
    </w:p>
    <w:p w:rsidR="000C3C70" w:rsidRPr="00A93E4B" w:rsidRDefault="000C3C70" w:rsidP="008130D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sz w:val="28"/>
          <w:szCs w:val="28"/>
        </w:rPr>
        <w:t>IV</w:t>
      </w:r>
      <w:r w:rsidRPr="00A93E4B">
        <w:rPr>
          <w:rFonts w:ascii="Times New Roman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 обсягів та джерел фінансування; строки та етапи виконання Програми</w:t>
      </w:r>
    </w:p>
    <w:p w:rsidR="000C3C70" w:rsidRPr="00993D4B" w:rsidRDefault="000C3C70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шляхами і засобами розв’язання проблем, визначених Програмою, є необхідність фінансової підтримки діяльності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Кропивницької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ради. Програма спрямована на створення умов для забезпечення безперебійного та ефективного виконання депутатським корпусом та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виконавчим апаратом 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повноважень, вирішення проблем 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управлінського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та збереження комунального майна в належному стані.</w:t>
      </w:r>
    </w:p>
    <w:p w:rsidR="000C3C70" w:rsidRPr="00993D4B" w:rsidRDefault="000C3C70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Досягнення поставлених завдань можливе за наявності кваліфікованого кадрового потенціалу, підвищення його кваліфікаційного рівня та відповідного ресурсного забезпечення.</w:t>
      </w:r>
    </w:p>
    <w:p w:rsidR="000C3C70" w:rsidRPr="00993D4B" w:rsidRDefault="000C3C70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Це можливо забезпечити через прийняття Програми, яка сприятиме підвищенню ефективного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функціонування 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</w:t>
      </w:r>
    </w:p>
    <w:p w:rsidR="000C3C70" w:rsidRPr="00993D4B" w:rsidRDefault="00860673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заходів Програми планується здійснити за рахунок коштів 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державного, обласного, місцевих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 xml:space="preserve"> бюджетів та інших джерел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 xml:space="preserve"> не заборонених чинним законодавством України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673" w:rsidRPr="00993D4B" w:rsidRDefault="00860673" w:rsidP="002C4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видатків, передбачених Програмою, здійснюватиметься </w:t>
      </w:r>
      <w:r w:rsidR="002C4681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державного, обласного, місцевих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 xml:space="preserve"> бюджетів та інших джерел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 xml:space="preserve"> не заборонених чинним законодавством України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, наведених у Додатку 1 до Програми.</w:t>
      </w:r>
    </w:p>
    <w:p w:rsidR="00860673" w:rsidRPr="00993D4B" w:rsidRDefault="00860673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Термін реалізації заходів Програми –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2023-2025 роки.</w:t>
      </w:r>
    </w:p>
    <w:p w:rsidR="00860673" w:rsidRPr="002C4681" w:rsidRDefault="00860673" w:rsidP="008606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681">
        <w:rPr>
          <w:rFonts w:ascii="Times New Roman" w:hAnsi="Times New Roman" w:cs="Times New Roman"/>
          <w:b/>
          <w:sz w:val="28"/>
          <w:szCs w:val="28"/>
        </w:rPr>
        <w:t>V</w:t>
      </w:r>
      <w:r w:rsidRPr="002C4681">
        <w:rPr>
          <w:rFonts w:ascii="Times New Roman" w:hAnsi="Times New Roman" w:cs="Times New Roman"/>
          <w:b/>
          <w:sz w:val="28"/>
          <w:szCs w:val="28"/>
          <w:lang w:val="uk-UA"/>
        </w:rPr>
        <w:t>. Перелік завдань Програми та результативні показники</w:t>
      </w:r>
    </w:p>
    <w:p w:rsidR="00860673" w:rsidRPr="00993D4B" w:rsidRDefault="00860673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Основним завданням Програми є підтримка депутатського корпусу та працівників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досягнення конкретних результатів, прийняття ефективних управлінських рішень та на оперативне розв’язання проблем.</w:t>
      </w:r>
    </w:p>
    <w:p w:rsidR="00860673" w:rsidRPr="00993D4B" w:rsidRDefault="00860673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виконання заходів Програми буде забезпечено виконання повноважень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вчасно та в повному обсязі.</w:t>
      </w:r>
    </w:p>
    <w:p w:rsidR="00860673" w:rsidRPr="002C4681" w:rsidRDefault="00860673" w:rsidP="008606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C4681">
        <w:rPr>
          <w:rFonts w:ascii="Times New Roman" w:hAnsi="Times New Roman" w:cs="Times New Roman"/>
          <w:b/>
          <w:sz w:val="28"/>
          <w:szCs w:val="28"/>
        </w:rPr>
        <w:t>V</w:t>
      </w:r>
      <w:r w:rsidRPr="002C4681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2C4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Напрями діяльності та заходи Програми</w:t>
      </w:r>
    </w:p>
    <w:p w:rsidR="000C3C70" w:rsidRDefault="00860673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реалізацію наступних заходів:</w:t>
      </w:r>
    </w:p>
    <w:p w:rsidR="00035718" w:rsidRPr="00035718" w:rsidRDefault="00035718" w:rsidP="00035718">
      <w:pPr>
        <w:pStyle w:val="a4"/>
        <w:numPr>
          <w:ilvl w:val="0"/>
          <w:numId w:val="3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оплата</w:t>
      </w:r>
      <w:r w:rsidRPr="00035718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ліквідаційних заходів з припинення районних рад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5718">
        <w:rPr>
          <w:rFonts w:ascii="Times New Roman" w:hAnsi="Times New Roman" w:cs="Times New Roman"/>
          <w:sz w:val="28"/>
          <w:szCs w:val="28"/>
          <w:lang w:val="uk-UA"/>
        </w:rPr>
        <w:t xml:space="preserve"> які приєдналися до Кропивницької районної ради, та оплата судових зборів та стягнень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5718">
        <w:rPr>
          <w:rFonts w:ascii="Times New Roman" w:hAnsi="Times New Roman" w:cs="Times New Roman"/>
          <w:sz w:val="28"/>
          <w:szCs w:val="28"/>
          <w:lang w:val="uk-UA"/>
        </w:rPr>
        <w:t xml:space="preserve"> що виникають в процесі ліквідації.</w:t>
      </w:r>
    </w:p>
    <w:p w:rsidR="00860673" w:rsidRPr="00993D4B" w:rsidRDefault="00860673" w:rsidP="00035718">
      <w:pPr>
        <w:pStyle w:val="a4"/>
        <w:numPr>
          <w:ilvl w:val="2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своєчасна виплата працівникам заробітної плати з усіма скла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 xml:space="preserve">довими,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гарантованими чинним законодавством;</w:t>
      </w:r>
    </w:p>
    <w:p w:rsidR="00860673" w:rsidRDefault="00860673" w:rsidP="00035718">
      <w:pPr>
        <w:pStyle w:val="a4"/>
        <w:numPr>
          <w:ilvl w:val="2"/>
          <w:numId w:val="2"/>
        </w:numPr>
        <w:tabs>
          <w:tab w:val="left" w:pos="426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праці для працівників </w:t>
      </w:r>
      <w:r w:rsidR="002C4681"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з метою якісного та оперативного виконання покладених на них функцій та обов’язків шляхом покращ</w:t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ення матеріально-технічної бази;</w:t>
      </w:r>
    </w:p>
    <w:p w:rsidR="00DC2A5D" w:rsidRPr="00993D4B" w:rsidRDefault="00DC2A5D" w:rsidP="00035718">
      <w:pPr>
        <w:pStyle w:val="a4"/>
        <w:numPr>
          <w:ilvl w:val="2"/>
          <w:numId w:val="2"/>
        </w:numPr>
        <w:tabs>
          <w:tab w:val="left" w:pos="426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в належному стані об’єктів комунальної власності.</w:t>
      </w:r>
    </w:p>
    <w:p w:rsidR="00860673" w:rsidRPr="002C4681" w:rsidRDefault="00860673" w:rsidP="00860673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C4681">
        <w:rPr>
          <w:rFonts w:ascii="Times New Roman" w:hAnsi="Times New Roman" w:cs="Times New Roman"/>
          <w:b/>
          <w:sz w:val="28"/>
          <w:szCs w:val="28"/>
        </w:rPr>
        <w:t>V</w:t>
      </w:r>
      <w:r w:rsidRPr="002C4681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2C4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860673" w:rsidRPr="00993D4B" w:rsidRDefault="00860673" w:rsidP="008130D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2A5D">
        <w:rPr>
          <w:rFonts w:ascii="Times New Roman" w:hAnsi="Times New Roman" w:cs="Times New Roman"/>
          <w:sz w:val="28"/>
          <w:szCs w:val="28"/>
          <w:lang w:val="uk-UA"/>
        </w:rPr>
        <w:t>Кропивницька районна рада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координацію та контроль за виконанням заходів Програми.</w:t>
      </w:r>
    </w:p>
    <w:p w:rsidR="00270C74" w:rsidRDefault="008130D2" w:rsidP="008130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0C74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270C74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 питань власності виконавчого апарату Кропивницької районної </w:t>
      </w:r>
      <w:r w:rsidR="00270C74"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щороку до 10 лютого готує та подає </w:t>
      </w:r>
      <w:r w:rsidR="00270C74">
        <w:rPr>
          <w:rFonts w:ascii="Times New Roman" w:hAnsi="Times New Roman" w:cs="Times New Roman"/>
          <w:sz w:val="28"/>
          <w:szCs w:val="28"/>
          <w:lang w:val="uk-UA"/>
        </w:rPr>
        <w:t xml:space="preserve">сесії Кропивницької районної ради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стан виконанн</w:t>
      </w:r>
      <w:r w:rsidR="00035718">
        <w:rPr>
          <w:rFonts w:ascii="Times New Roman" w:hAnsi="Times New Roman" w:cs="Times New Roman"/>
          <w:sz w:val="28"/>
          <w:szCs w:val="28"/>
          <w:lang w:val="uk-UA"/>
        </w:rPr>
        <w:t>я Програми, у разі наявності показників.</w:t>
      </w:r>
    </w:p>
    <w:p w:rsidR="00270C74" w:rsidRDefault="00270C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60673" w:rsidRPr="00993D4B" w:rsidRDefault="00860673" w:rsidP="008130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632" w:rsidRPr="00993D4B" w:rsidRDefault="00A77632" w:rsidP="00A77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88A" w:rsidRPr="00993D4B" w:rsidRDefault="00B1788A" w:rsidP="00A77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5"/>
        <w:gridCol w:w="3626"/>
      </w:tblGrid>
      <w:tr w:rsidR="008130D2" w:rsidRPr="00C619BF" w:rsidTr="008130D2">
        <w:tc>
          <w:tcPr>
            <w:tcW w:w="4520" w:type="dxa"/>
          </w:tcPr>
          <w:p w:rsidR="008130D2" w:rsidRPr="00993D4B" w:rsidRDefault="008130D2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1" w:type="dxa"/>
          </w:tcPr>
          <w:p w:rsidR="008130D2" w:rsidRPr="00993D4B" w:rsidRDefault="008130D2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1" w:type="dxa"/>
          </w:tcPr>
          <w:p w:rsidR="008130D2" w:rsidRPr="00993D4B" w:rsidRDefault="008130D2" w:rsidP="00270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Додаток 1 до Програми фінансової підтримки діяльності </w:t>
            </w:r>
            <w:r w:rsidR="00270C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Кропивницької</w:t>
            </w:r>
            <w:r w:rsidRPr="00993D4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районної ради на 2023</w:t>
            </w:r>
            <w:r w:rsidR="00270C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-2025 роки</w:t>
            </w:r>
          </w:p>
        </w:tc>
      </w:tr>
    </w:tbl>
    <w:p w:rsidR="00347688" w:rsidRPr="00993D4B" w:rsidRDefault="00347688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694D" w:rsidRPr="00993D4B" w:rsidRDefault="0003694D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30D2" w:rsidRPr="00270C74" w:rsidRDefault="008130D2" w:rsidP="00347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C74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</w:t>
      </w:r>
    </w:p>
    <w:p w:rsidR="00270C74" w:rsidRDefault="008130D2" w:rsidP="00347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C74">
        <w:rPr>
          <w:rFonts w:ascii="Times New Roman" w:hAnsi="Times New Roman" w:cs="Times New Roman"/>
          <w:b/>
          <w:sz w:val="28"/>
          <w:szCs w:val="28"/>
          <w:lang w:val="uk-UA"/>
        </w:rPr>
        <w:t>Програми фінансово</w:t>
      </w:r>
      <w:r w:rsidR="006E7435" w:rsidRPr="00270C74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270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підтримки діяльності </w:t>
      </w:r>
    </w:p>
    <w:p w:rsidR="008130D2" w:rsidRPr="00270C74" w:rsidRDefault="00270C74" w:rsidP="00347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Кропивницької</w:t>
      </w:r>
      <w:r w:rsidR="008130D2" w:rsidRPr="00270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на 2023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2025 роки</w:t>
      </w:r>
    </w:p>
    <w:p w:rsidR="008130D2" w:rsidRPr="00270C74" w:rsidRDefault="008130D2" w:rsidP="00347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347" w:rsidRPr="00993D4B" w:rsidRDefault="00097347" w:rsidP="00097347">
      <w:pPr>
        <w:spacing w:after="0" w:line="240" w:lineRule="auto"/>
        <w:ind w:right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(тис. грн.)</w:t>
      </w:r>
    </w:p>
    <w:tbl>
      <w:tblPr>
        <w:tblStyle w:val="a3"/>
        <w:tblW w:w="0" w:type="auto"/>
        <w:tblLook w:val="04A0"/>
      </w:tblPr>
      <w:tblGrid>
        <w:gridCol w:w="3205"/>
        <w:gridCol w:w="1244"/>
        <w:gridCol w:w="1238"/>
        <w:gridCol w:w="1238"/>
        <w:gridCol w:w="2930"/>
      </w:tblGrid>
      <w:tr w:rsidR="00270C74" w:rsidRPr="00C619BF" w:rsidTr="00035718">
        <w:trPr>
          <w:trHeight w:val="654"/>
        </w:trPr>
        <w:tc>
          <w:tcPr>
            <w:tcW w:w="3205" w:type="dxa"/>
            <w:vMerge w:val="restart"/>
          </w:tcPr>
          <w:p w:rsidR="00270C74" w:rsidRPr="00993D4B" w:rsidRDefault="00270C74" w:rsidP="000369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720" w:type="dxa"/>
            <w:gridSpan w:val="3"/>
          </w:tcPr>
          <w:p w:rsidR="00270C74" w:rsidRPr="00993D4B" w:rsidRDefault="00270C74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930" w:type="dxa"/>
            <w:vMerge w:val="restart"/>
          </w:tcPr>
          <w:p w:rsidR="00270C74" w:rsidRPr="00993D4B" w:rsidRDefault="00270C74" w:rsidP="000369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A29B8" w:rsidRPr="00993D4B" w:rsidTr="00035718">
        <w:tc>
          <w:tcPr>
            <w:tcW w:w="3205" w:type="dxa"/>
            <w:vMerge/>
          </w:tcPr>
          <w:p w:rsidR="00CA29B8" w:rsidRPr="00993D4B" w:rsidRDefault="00CA29B8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CA29B8" w:rsidRPr="00993D4B" w:rsidRDefault="00270C74" w:rsidP="00CA2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38" w:type="dxa"/>
          </w:tcPr>
          <w:p w:rsidR="00CA29B8" w:rsidRPr="00993D4B" w:rsidRDefault="00270C74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238" w:type="dxa"/>
          </w:tcPr>
          <w:p w:rsidR="00CA29B8" w:rsidRPr="00993D4B" w:rsidRDefault="00270C74" w:rsidP="00CA2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930" w:type="dxa"/>
            <w:vMerge/>
          </w:tcPr>
          <w:p w:rsidR="00CA29B8" w:rsidRPr="00993D4B" w:rsidRDefault="00CA29B8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29B8" w:rsidRPr="00C619BF" w:rsidTr="00035718">
        <w:tc>
          <w:tcPr>
            <w:tcW w:w="3205" w:type="dxa"/>
          </w:tcPr>
          <w:p w:rsidR="00CA29B8" w:rsidRPr="00993D4B" w:rsidRDefault="00CA29B8" w:rsidP="00036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</w:t>
            </w:r>
          </w:p>
          <w:p w:rsidR="00CA29B8" w:rsidRPr="00993D4B" w:rsidRDefault="00CA29B8" w:rsidP="00036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 у тому числі:</w:t>
            </w:r>
          </w:p>
        </w:tc>
        <w:tc>
          <w:tcPr>
            <w:tcW w:w="1244" w:type="dxa"/>
          </w:tcPr>
          <w:p w:rsidR="00CA29B8" w:rsidRPr="00993D4B" w:rsidRDefault="00CA29B8" w:rsidP="000369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CA29B8" w:rsidRPr="00993D4B" w:rsidRDefault="00CA29B8" w:rsidP="000369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CA29B8" w:rsidRPr="00993D4B" w:rsidRDefault="00CA29B8" w:rsidP="000369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0" w:type="dxa"/>
          </w:tcPr>
          <w:p w:rsidR="00CA29B8" w:rsidRPr="00993D4B" w:rsidRDefault="00CA29B8" w:rsidP="000369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5718" w:rsidRPr="00993D4B" w:rsidTr="0047537D">
        <w:trPr>
          <w:trHeight w:val="1610"/>
        </w:trPr>
        <w:tc>
          <w:tcPr>
            <w:tcW w:w="3205" w:type="dxa"/>
          </w:tcPr>
          <w:p w:rsidR="00035718" w:rsidRPr="00993D4B" w:rsidRDefault="00035718" w:rsidP="00036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35718" w:rsidRPr="00993D4B" w:rsidRDefault="00035718" w:rsidP="00036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</w:p>
          <w:p w:rsidR="00035718" w:rsidRPr="00993D4B" w:rsidRDefault="00035718" w:rsidP="00036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джерел</w:t>
            </w:r>
          </w:p>
        </w:tc>
        <w:tc>
          <w:tcPr>
            <w:tcW w:w="1244" w:type="dxa"/>
          </w:tcPr>
          <w:p w:rsidR="00035718" w:rsidRPr="00993D4B" w:rsidRDefault="00035718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238" w:type="dxa"/>
          </w:tcPr>
          <w:p w:rsidR="00035718" w:rsidRPr="00993D4B" w:rsidRDefault="00035718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238" w:type="dxa"/>
          </w:tcPr>
          <w:p w:rsidR="00035718" w:rsidRPr="00993D4B" w:rsidRDefault="00035718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930" w:type="dxa"/>
          </w:tcPr>
          <w:p w:rsidR="00035718" w:rsidRPr="00993D4B" w:rsidRDefault="00035718" w:rsidP="00035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1250,00</w:t>
            </w:r>
          </w:p>
        </w:tc>
      </w:tr>
      <w:tr w:rsidR="00CA29B8" w:rsidRPr="00993D4B" w:rsidTr="00035718">
        <w:tc>
          <w:tcPr>
            <w:tcW w:w="3205" w:type="dxa"/>
          </w:tcPr>
          <w:p w:rsidR="00CA29B8" w:rsidRPr="00993D4B" w:rsidRDefault="00CA29B8" w:rsidP="00036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244" w:type="dxa"/>
          </w:tcPr>
          <w:p w:rsidR="00CA29B8" w:rsidRPr="00993D4B" w:rsidRDefault="00CA29B8" w:rsidP="00CA2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CA29B8" w:rsidRPr="00993D4B" w:rsidRDefault="00CA29B8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CA29B8" w:rsidRPr="00993D4B" w:rsidRDefault="00CA29B8" w:rsidP="00CA2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0" w:type="dxa"/>
          </w:tcPr>
          <w:p w:rsidR="00CA29B8" w:rsidRPr="00993D4B" w:rsidRDefault="00CA29B8" w:rsidP="00347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30D2" w:rsidRPr="00993D4B" w:rsidRDefault="008130D2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571" w:rsidRPr="00993D4B" w:rsidRDefault="00C65571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3D4B" w:rsidRDefault="00993D4B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3D4B" w:rsidSect="00270C74">
      <w:pgSz w:w="12240" w:h="15840"/>
      <w:pgMar w:top="533" w:right="104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E1" w:rsidRDefault="004436E1" w:rsidP="00CA29B8">
      <w:pPr>
        <w:spacing w:after="0" w:line="240" w:lineRule="auto"/>
      </w:pPr>
      <w:r>
        <w:separator/>
      </w:r>
    </w:p>
  </w:endnote>
  <w:endnote w:type="continuationSeparator" w:id="0">
    <w:p w:rsidR="004436E1" w:rsidRDefault="004436E1" w:rsidP="00CA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E1" w:rsidRDefault="004436E1" w:rsidP="00CA29B8">
      <w:pPr>
        <w:spacing w:after="0" w:line="240" w:lineRule="auto"/>
      </w:pPr>
      <w:r>
        <w:separator/>
      </w:r>
    </w:p>
  </w:footnote>
  <w:footnote w:type="continuationSeparator" w:id="0">
    <w:p w:rsidR="004436E1" w:rsidRDefault="004436E1" w:rsidP="00CA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F15"/>
    <w:multiLevelType w:val="hybridMultilevel"/>
    <w:tmpl w:val="8FCAE528"/>
    <w:lvl w:ilvl="0" w:tplc="D0526928">
      <w:start w:val="20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839C7"/>
    <w:multiLevelType w:val="hybridMultilevel"/>
    <w:tmpl w:val="A48AAB22"/>
    <w:lvl w:ilvl="0" w:tplc="0D62C7B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16D99"/>
    <w:multiLevelType w:val="hybridMultilevel"/>
    <w:tmpl w:val="7584ACCA"/>
    <w:lvl w:ilvl="0" w:tplc="FE0A884A">
      <w:start w:val="1"/>
      <w:numFmt w:val="bullet"/>
      <w:lvlText w:val="̶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40690">
      <w:start w:val="2"/>
      <w:numFmt w:val="bullet"/>
      <w:lvlText w:val="̶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688"/>
    <w:rsid w:val="00035718"/>
    <w:rsid w:val="0003694D"/>
    <w:rsid w:val="00097347"/>
    <w:rsid w:val="000C3C70"/>
    <w:rsid w:val="00115341"/>
    <w:rsid w:val="00236A75"/>
    <w:rsid w:val="00270C74"/>
    <w:rsid w:val="002C4681"/>
    <w:rsid w:val="002E650F"/>
    <w:rsid w:val="00347688"/>
    <w:rsid w:val="00371C64"/>
    <w:rsid w:val="003D5149"/>
    <w:rsid w:val="004436E1"/>
    <w:rsid w:val="00443E46"/>
    <w:rsid w:val="0047580B"/>
    <w:rsid w:val="004E408A"/>
    <w:rsid w:val="0056466B"/>
    <w:rsid w:val="005874D5"/>
    <w:rsid w:val="006E7435"/>
    <w:rsid w:val="007810FC"/>
    <w:rsid w:val="008130D2"/>
    <w:rsid w:val="00860673"/>
    <w:rsid w:val="00872148"/>
    <w:rsid w:val="00993D4B"/>
    <w:rsid w:val="00A77632"/>
    <w:rsid w:val="00A93E4B"/>
    <w:rsid w:val="00AB6988"/>
    <w:rsid w:val="00AE745B"/>
    <w:rsid w:val="00B04952"/>
    <w:rsid w:val="00B1788A"/>
    <w:rsid w:val="00B30C1E"/>
    <w:rsid w:val="00B853C5"/>
    <w:rsid w:val="00BB0F3C"/>
    <w:rsid w:val="00C274C9"/>
    <w:rsid w:val="00C619BF"/>
    <w:rsid w:val="00C65571"/>
    <w:rsid w:val="00C737BA"/>
    <w:rsid w:val="00C90163"/>
    <w:rsid w:val="00CA29B8"/>
    <w:rsid w:val="00D00D67"/>
    <w:rsid w:val="00D0533D"/>
    <w:rsid w:val="00D37DB4"/>
    <w:rsid w:val="00D638D0"/>
    <w:rsid w:val="00DC138A"/>
    <w:rsid w:val="00DC2A5D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6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2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9B8"/>
  </w:style>
  <w:style w:type="paragraph" w:styleId="a7">
    <w:name w:val="footer"/>
    <w:basedOn w:val="a"/>
    <w:link w:val="a8"/>
    <w:uiPriority w:val="99"/>
    <w:unhideWhenUsed/>
    <w:rsid w:val="00CA2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F89F-D5CB-47B5-AD49-9075874A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Ніколетта Сабов</dc:creator>
  <cp:lastModifiedBy>RR-DK-06</cp:lastModifiedBy>
  <cp:revision>2</cp:revision>
  <cp:lastPrinted>2023-09-26T09:08:00Z</cp:lastPrinted>
  <dcterms:created xsi:type="dcterms:W3CDTF">2023-09-26T10:09:00Z</dcterms:created>
  <dcterms:modified xsi:type="dcterms:W3CDTF">2023-09-26T10:09:00Z</dcterms:modified>
</cp:coreProperties>
</file>