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4A" w:rsidRPr="00126112" w:rsidRDefault="00DA184A" w:rsidP="00221FDC">
      <w:pPr>
        <w:tabs>
          <w:tab w:val="left" w:pos="6300"/>
        </w:tabs>
        <w:ind w:left="5529"/>
        <w:jc w:val="both"/>
        <w:rPr>
          <w:sz w:val="28"/>
          <w:szCs w:val="28"/>
        </w:rPr>
      </w:pPr>
      <w:bookmarkStart w:id="0" w:name="_GoBack"/>
      <w:bookmarkEnd w:id="0"/>
      <w:r w:rsidRPr="00126112">
        <w:rPr>
          <w:sz w:val="28"/>
          <w:szCs w:val="28"/>
        </w:rPr>
        <w:t>ЗАТВЕРДЖЕНО</w:t>
      </w:r>
    </w:p>
    <w:p w:rsidR="00DA184A" w:rsidRPr="00126112" w:rsidRDefault="00DA184A" w:rsidP="00221FDC">
      <w:pPr>
        <w:tabs>
          <w:tab w:val="left" w:pos="0"/>
        </w:tabs>
        <w:ind w:left="5529"/>
        <w:jc w:val="both"/>
        <w:rPr>
          <w:sz w:val="28"/>
          <w:szCs w:val="28"/>
        </w:rPr>
      </w:pPr>
      <w:r w:rsidRPr="00126112">
        <w:rPr>
          <w:sz w:val="28"/>
          <w:szCs w:val="28"/>
        </w:rPr>
        <w:t xml:space="preserve">Рішення районної ради </w:t>
      </w:r>
    </w:p>
    <w:p w:rsidR="00DA184A" w:rsidRPr="00126112" w:rsidRDefault="00DA184A" w:rsidP="00221FDC">
      <w:pPr>
        <w:tabs>
          <w:tab w:val="left" w:pos="0"/>
        </w:tabs>
        <w:ind w:left="5529"/>
        <w:jc w:val="both"/>
        <w:rPr>
          <w:sz w:val="28"/>
          <w:szCs w:val="28"/>
        </w:rPr>
      </w:pPr>
      <w:r w:rsidRPr="00126112">
        <w:rPr>
          <w:sz w:val="28"/>
          <w:szCs w:val="28"/>
        </w:rPr>
        <w:t xml:space="preserve">від </w:t>
      </w:r>
      <w:r>
        <w:rPr>
          <w:sz w:val="28"/>
          <w:szCs w:val="28"/>
        </w:rPr>
        <w:t>___</w:t>
      </w:r>
      <w:r w:rsidRPr="00126112">
        <w:rPr>
          <w:sz w:val="28"/>
          <w:szCs w:val="28"/>
        </w:rPr>
        <w:t xml:space="preserve"> </w:t>
      </w:r>
      <w:r>
        <w:rPr>
          <w:sz w:val="28"/>
          <w:szCs w:val="28"/>
        </w:rPr>
        <w:t>грудня</w:t>
      </w:r>
      <w:r w:rsidRPr="00126112">
        <w:rPr>
          <w:sz w:val="28"/>
          <w:szCs w:val="28"/>
        </w:rPr>
        <w:t xml:space="preserve"> 2021 року № </w:t>
      </w:r>
      <w:r>
        <w:rPr>
          <w:sz w:val="28"/>
          <w:szCs w:val="28"/>
        </w:rPr>
        <w:t>___</w:t>
      </w:r>
    </w:p>
    <w:p w:rsidR="00DA184A" w:rsidRPr="00126112" w:rsidRDefault="00DA184A" w:rsidP="005D243A">
      <w:pPr>
        <w:jc w:val="center"/>
        <w:rPr>
          <w:sz w:val="14"/>
          <w:szCs w:val="28"/>
        </w:rPr>
      </w:pPr>
    </w:p>
    <w:p w:rsidR="00DA184A" w:rsidRPr="00126112" w:rsidRDefault="00DA184A" w:rsidP="003C606E">
      <w:pPr>
        <w:tabs>
          <w:tab w:val="left" w:pos="2445"/>
        </w:tabs>
        <w:spacing w:line="360" w:lineRule="auto"/>
        <w:jc w:val="center"/>
        <w:rPr>
          <w:b/>
          <w:sz w:val="28"/>
          <w:szCs w:val="28"/>
        </w:rPr>
      </w:pPr>
      <w:r w:rsidRPr="00126112">
        <w:rPr>
          <w:b/>
          <w:sz w:val="28"/>
          <w:szCs w:val="28"/>
        </w:rPr>
        <w:t>Районна програма</w:t>
      </w:r>
    </w:p>
    <w:p w:rsidR="00DA184A" w:rsidRPr="00126112" w:rsidRDefault="00DA184A" w:rsidP="003C606E">
      <w:pPr>
        <w:tabs>
          <w:tab w:val="left" w:pos="2445"/>
        </w:tabs>
        <w:spacing w:line="360" w:lineRule="auto"/>
        <w:jc w:val="center"/>
        <w:rPr>
          <w:b/>
          <w:sz w:val="28"/>
          <w:szCs w:val="28"/>
        </w:rPr>
      </w:pPr>
      <w:r w:rsidRPr="00126112">
        <w:rPr>
          <w:b/>
          <w:sz w:val="28"/>
          <w:szCs w:val="28"/>
        </w:rPr>
        <w:t xml:space="preserve">підтримки органів виконавчої влади </w:t>
      </w:r>
    </w:p>
    <w:p w:rsidR="00DA184A" w:rsidRPr="00126112" w:rsidRDefault="00DA184A" w:rsidP="003C606E">
      <w:pPr>
        <w:tabs>
          <w:tab w:val="left" w:pos="2445"/>
        </w:tabs>
        <w:spacing w:line="360" w:lineRule="auto"/>
        <w:jc w:val="center"/>
        <w:rPr>
          <w:b/>
          <w:bCs/>
          <w:sz w:val="28"/>
          <w:szCs w:val="28"/>
        </w:rPr>
      </w:pPr>
      <w:r w:rsidRPr="00126112">
        <w:rPr>
          <w:b/>
          <w:sz w:val="28"/>
          <w:szCs w:val="28"/>
        </w:rPr>
        <w:t>на 2021-2022 роки</w:t>
      </w:r>
    </w:p>
    <w:p w:rsidR="00DA184A" w:rsidRPr="00126112" w:rsidRDefault="00DA184A" w:rsidP="003C606E">
      <w:pPr>
        <w:spacing w:line="360" w:lineRule="auto"/>
        <w:jc w:val="center"/>
        <w:rPr>
          <w:b/>
          <w:sz w:val="28"/>
          <w:szCs w:val="28"/>
        </w:rPr>
      </w:pPr>
    </w:p>
    <w:p w:rsidR="00DA184A" w:rsidRPr="00126112" w:rsidRDefault="00DA184A" w:rsidP="003C606E">
      <w:pPr>
        <w:spacing w:line="360" w:lineRule="auto"/>
        <w:jc w:val="center"/>
        <w:rPr>
          <w:sz w:val="28"/>
          <w:szCs w:val="28"/>
        </w:rPr>
      </w:pPr>
      <w:r w:rsidRPr="00126112">
        <w:rPr>
          <w:b/>
          <w:sz w:val="28"/>
          <w:szCs w:val="28"/>
        </w:rPr>
        <w:t>І. Паспорт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
        <w:gridCol w:w="3033"/>
        <w:gridCol w:w="5387"/>
      </w:tblGrid>
      <w:tr w:rsidR="00DA184A" w:rsidRPr="00126112" w:rsidTr="003C606E">
        <w:tc>
          <w:tcPr>
            <w:tcW w:w="1073" w:type="dxa"/>
          </w:tcPr>
          <w:p w:rsidR="00DA184A" w:rsidRPr="00126112" w:rsidRDefault="00DA184A" w:rsidP="003C606E">
            <w:pPr>
              <w:autoSpaceDE w:val="0"/>
              <w:autoSpaceDN w:val="0"/>
              <w:adjustRightInd w:val="0"/>
              <w:spacing w:line="360" w:lineRule="auto"/>
              <w:jc w:val="center"/>
              <w:rPr>
                <w:sz w:val="28"/>
                <w:szCs w:val="28"/>
              </w:rPr>
            </w:pPr>
            <w:r w:rsidRPr="00126112">
              <w:rPr>
                <w:sz w:val="28"/>
                <w:szCs w:val="28"/>
              </w:rPr>
              <w:t>1.</w:t>
            </w:r>
          </w:p>
        </w:tc>
        <w:tc>
          <w:tcPr>
            <w:tcW w:w="3033" w:type="dxa"/>
          </w:tcPr>
          <w:p w:rsidR="00DA184A" w:rsidRPr="00126112" w:rsidRDefault="00DA184A" w:rsidP="003C606E">
            <w:pPr>
              <w:autoSpaceDE w:val="0"/>
              <w:autoSpaceDN w:val="0"/>
              <w:adjustRightInd w:val="0"/>
              <w:spacing w:line="360" w:lineRule="auto"/>
              <w:jc w:val="both"/>
              <w:rPr>
                <w:sz w:val="28"/>
                <w:szCs w:val="28"/>
              </w:rPr>
            </w:pPr>
            <w:r w:rsidRPr="00126112">
              <w:rPr>
                <w:sz w:val="28"/>
                <w:szCs w:val="28"/>
              </w:rPr>
              <w:t>Ініціатор розроблення Програми</w:t>
            </w:r>
          </w:p>
        </w:tc>
        <w:tc>
          <w:tcPr>
            <w:tcW w:w="5387" w:type="dxa"/>
          </w:tcPr>
          <w:p w:rsidR="00DA184A" w:rsidRPr="00126112" w:rsidRDefault="00DA184A" w:rsidP="003C606E">
            <w:pPr>
              <w:tabs>
                <w:tab w:val="left" w:pos="0"/>
              </w:tabs>
              <w:spacing w:line="360" w:lineRule="auto"/>
              <w:jc w:val="both"/>
              <w:rPr>
                <w:sz w:val="28"/>
                <w:szCs w:val="28"/>
              </w:rPr>
            </w:pPr>
            <w:r w:rsidRPr="00126112">
              <w:rPr>
                <w:sz w:val="28"/>
                <w:szCs w:val="28"/>
              </w:rPr>
              <w:t>Кропивницька районна державна адміністрація.</w:t>
            </w:r>
          </w:p>
        </w:tc>
      </w:tr>
      <w:tr w:rsidR="00DA184A" w:rsidRPr="00126112" w:rsidTr="003C606E">
        <w:tc>
          <w:tcPr>
            <w:tcW w:w="1073" w:type="dxa"/>
          </w:tcPr>
          <w:p w:rsidR="00DA184A" w:rsidRPr="00126112" w:rsidRDefault="00DA184A" w:rsidP="003C606E">
            <w:pPr>
              <w:autoSpaceDE w:val="0"/>
              <w:autoSpaceDN w:val="0"/>
              <w:adjustRightInd w:val="0"/>
              <w:spacing w:line="360" w:lineRule="auto"/>
              <w:jc w:val="center"/>
              <w:rPr>
                <w:sz w:val="28"/>
                <w:szCs w:val="28"/>
              </w:rPr>
            </w:pPr>
            <w:r w:rsidRPr="00126112">
              <w:rPr>
                <w:sz w:val="28"/>
                <w:szCs w:val="28"/>
              </w:rPr>
              <w:t>2.</w:t>
            </w:r>
          </w:p>
        </w:tc>
        <w:tc>
          <w:tcPr>
            <w:tcW w:w="3033" w:type="dxa"/>
          </w:tcPr>
          <w:p w:rsidR="00DA184A" w:rsidRPr="00126112" w:rsidRDefault="00DA184A" w:rsidP="003C606E">
            <w:pPr>
              <w:autoSpaceDE w:val="0"/>
              <w:autoSpaceDN w:val="0"/>
              <w:adjustRightInd w:val="0"/>
              <w:spacing w:line="360" w:lineRule="auto"/>
              <w:jc w:val="both"/>
              <w:rPr>
                <w:sz w:val="28"/>
                <w:szCs w:val="28"/>
              </w:rPr>
            </w:pPr>
            <w:r w:rsidRPr="00126112">
              <w:rPr>
                <w:sz w:val="28"/>
                <w:szCs w:val="28"/>
              </w:rPr>
              <w:t>Дата, номер і назва розпорядчого документа органу виконавчої влади про розроблення Програми</w:t>
            </w:r>
          </w:p>
        </w:tc>
        <w:tc>
          <w:tcPr>
            <w:tcW w:w="5387" w:type="dxa"/>
          </w:tcPr>
          <w:p w:rsidR="00DA184A" w:rsidRPr="00126112" w:rsidRDefault="00DA184A" w:rsidP="003C606E">
            <w:pPr>
              <w:autoSpaceDE w:val="0"/>
              <w:autoSpaceDN w:val="0"/>
              <w:adjustRightInd w:val="0"/>
              <w:spacing w:line="360" w:lineRule="auto"/>
              <w:jc w:val="both"/>
              <w:rPr>
                <w:sz w:val="28"/>
                <w:szCs w:val="28"/>
              </w:rPr>
            </w:pPr>
            <w:r w:rsidRPr="00126112">
              <w:rPr>
                <w:sz w:val="28"/>
                <w:szCs w:val="28"/>
              </w:rPr>
              <w:t>Статті 6, 13, 29, 41 Закону України «Про місцеві державні адміністрації», пункт 16 частини першої статті 43, стаття 44 Закону України «Про місцеве самоврядування в Україні», стаття 50 Закону України «Про державну службу», статті 85 Бюджетного кодексу України, постанови Кабінету Міністрів України від 09.03.1999 № 339 «Про затвердження порядку контролю за здійсненням органами місцевого самоврядування делегованих повноважень органів виконавчої влади» та від 09.11.2016 № 787 «Про видатки на оплату праці працівників місцевих державних адміністрацій».</w:t>
            </w:r>
          </w:p>
        </w:tc>
      </w:tr>
      <w:tr w:rsidR="00DA184A" w:rsidRPr="00126112" w:rsidTr="003C606E">
        <w:tc>
          <w:tcPr>
            <w:tcW w:w="1073" w:type="dxa"/>
          </w:tcPr>
          <w:p w:rsidR="00DA184A" w:rsidRPr="00126112" w:rsidRDefault="00DA184A" w:rsidP="003C606E">
            <w:pPr>
              <w:autoSpaceDE w:val="0"/>
              <w:autoSpaceDN w:val="0"/>
              <w:adjustRightInd w:val="0"/>
              <w:spacing w:line="360" w:lineRule="auto"/>
              <w:jc w:val="center"/>
              <w:rPr>
                <w:sz w:val="28"/>
                <w:szCs w:val="28"/>
              </w:rPr>
            </w:pPr>
            <w:r w:rsidRPr="00126112">
              <w:rPr>
                <w:sz w:val="28"/>
                <w:szCs w:val="28"/>
              </w:rPr>
              <w:t>3.</w:t>
            </w:r>
          </w:p>
        </w:tc>
        <w:tc>
          <w:tcPr>
            <w:tcW w:w="3033" w:type="dxa"/>
          </w:tcPr>
          <w:p w:rsidR="00DA184A" w:rsidRPr="00126112" w:rsidRDefault="00DA184A" w:rsidP="003C606E">
            <w:pPr>
              <w:autoSpaceDE w:val="0"/>
              <w:autoSpaceDN w:val="0"/>
              <w:adjustRightInd w:val="0"/>
              <w:spacing w:line="360" w:lineRule="auto"/>
              <w:jc w:val="both"/>
              <w:rPr>
                <w:sz w:val="28"/>
                <w:szCs w:val="28"/>
              </w:rPr>
            </w:pPr>
            <w:r w:rsidRPr="00126112">
              <w:rPr>
                <w:sz w:val="28"/>
                <w:szCs w:val="28"/>
              </w:rPr>
              <w:t>Розробник Програми</w:t>
            </w:r>
          </w:p>
        </w:tc>
        <w:tc>
          <w:tcPr>
            <w:tcW w:w="5387" w:type="dxa"/>
          </w:tcPr>
          <w:p w:rsidR="00DA184A" w:rsidRPr="00126112" w:rsidRDefault="00DA184A" w:rsidP="003C606E">
            <w:pPr>
              <w:tabs>
                <w:tab w:val="left" w:pos="0"/>
              </w:tabs>
              <w:spacing w:line="360" w:lineRule="auto"/>
              <w:ind w:left="29"/>
              <w:jc w:val="both"/>
              <w:rPr>
                <w:sz w:val="28"/>
                <w:szCs w:val="28"/>
              </w:rPr>
            </w:pPr>
            <w:r w:rsidRPr="00126112">
              <w:rPr>
                <w:sz w:val="28"/>
                <w:szCs w:val="28"/>
              </w:rPr>
              <w:t>Кропивницька районна державна адміністрація, структурні підрозділи райдержадміністрації.</w:t>
            </w:r>
          </w:p>
        </w:tc>
      </w:tr>
      <w:tr w:rsidR="00DA184A" w:rsidRPr="00126112" w:rsidTr="003C606E">
        <w:tc>
          <w:tcPr>
            <w:tcW w:w="1073" w:type="dxa"/>
          </w:tcPr>
          <w:p w:rsidR="00DA184A" w:rsidRPr="00126112" w:rsidRDefault="00DA184A" w:rsidP="003C606E">
            <w:pPr>
              <w:autoSpaceDE w:val="0"/>
              <w:autoSpaceDN w:val="0"/>
              <w:adjustRightInd w:val="0"/>
              <w:spacing w:line="360" w:lineRule="auto"/>
              <w:jc w:val="center"/>
              <w:rPr>
                <w:sz w:val="28"/>
                <w:szCs w:val="28"/>
              </w:rPr>
            </w:pPr>
            <w:r w:rsidRPr="00126112">
              <w:rPr>
                <w:sz w:val="28"/>
                <w:szCs w:val="28"/>
              </w:rPr>
              <w:t>4.</w:t>
            </w:r>
          </w:p>
        </w:tc>
        <w:tc>
          <w:tcPr>
            <w:tcW w:w="3033" w:type="dxa"/>
          </w:tcPr>
          <w:p w:rsidR="00DA184A" w:rsidRPr="00126112" w:rsidRDefault="00DA184A" w:rsidP="003C606E">
            <w:pPr>
              <w:autoSpaceDE w:val="0"/>
              <w:autoSpaceDN w:val="0"/>
              <w:adjustRightInd w:val="0"/>
              <w:spacing w:line="360" w:lineRule="auto"/>
              <w:jc w:val="both"/>
              <w:rPr>
                <w:sz w:val="28"/>
                <w:szCs w:val="28"/>
              </w:rPr>
            </w:pPr>
            <w:r w:rsidRPr="00126112">
              <w:rPr>
                <w:sz w:val="28"/>
                <w:szCs w:val="28"/>
              </w:rPr>
              <w:t>Відповідальні виконавці Програми</w:t>
            </w:r>
          </w:p>
        </w:tc>
        <w:tc>
          <w:tcPr>
            <w:tcW w:w="5387" w:type="dxa"/>
          </w:tcPr>
          <w:p w:rsidR="00DA184A" w:rsidRPr="00126112" w:rsidRDefault="00DA184A" w:rsidP="003C606E">
            <w:pPr>
              <w:tabs>
                <w:tab w:val="left" w:pos="0"/>
              </w:tabs>
              <w:spacing w:line="360" w:lineRule="auto"/>
              <w:ind w:left="29"/>
              <w:jc w:val="both"/>
              <w:rPr>
                <w:sz w:val="28"/>
                <w:szCs w:val="28"/>
              </w:rPr>
            </w:pPr>
            <w:r w:rsidRPr="00126112">
              <w:rPr>
                <w:sz w:val="28"/>
                <w:szCs w:val="28"/>
              </w:rPr>
              <w:t>Кропивницька районна державна адміністрація, структурні підрозділи райдержадміністрації.</w:t>
            </w:r>
          </w:p>
        </w:tc>
      </w:tr>
      <w:tr w:rsidR="00DA184A" w:rsidRPr="00126112" w:rsidTr="003C606E">
        <w:tc>
          <w:tcPr>
            <w:tcW w:w="1073" w:type="dxa"/>
          </w:tcPr>
          <w:p w:rsidR="00DA184A" w:rsidRPr="00126112" w:rsidRDefault="00DA184A" w:rsidP="003C606E">
            <w:pPr>
              <w:autoSpaceDE w:val="0"/>
              <w:autoSpaceDN w:val="0"/>
              <w:adjustRightInd w:val="0"/>
              <w:spacing w:line="360" w:lineRule="auto"/>
              <w:jc w:val="center"/>
              <w:rPr>
                <w:sz w:val="28"/>
                <w:szCs w:val="28"/>
              </w:rPr>
            </w:pPr>
            <w:r w:rsidRPr="00126112">
              <w:rPr>
                <w:sz w:val="28"/>
                <w:szCs w:val="28"/>
              </w:rPr>
              <w:t>5.</w:t>
            </w:r>
          </w:p>
        </w:tc>
        <w:tc>
          <w:tcPr>
            <w:tcW w:w="3033" w:type="dxa"/>
          </w:tcPr>
          <w:p w:rsidR="00DA184A" w:rsidRPr="00126112" w:rsidRDefault="00DA184A" w:rsidP="003C606E">
            <w:pPr>
              <w:autoSpaceDE w:val="0"/>
              <w:autoSpaceDN w:val="0"/>
              <w:adjustRightInd w:val="0"/>
              <w:spacing w:line="360" w:lineRule="auto"/>
              <w:jc w:val="both"/>
              <w:rPr>
                <w:sz w:val="28"/>
                <w:szCs w:val="28"/>
              </w:rPr>
            </w:pPr>
            <w:r w:rsidRPr="00126112">
              <w:rPr>
                <w:sz w:val="28"/>
                <w:szCs w:val="28"/>
              </w:rPr>
              <w:t>Учасники Програми</w:t>
            </w:r>
          </w:p>
        </w:tc>
        <w:tc>
          <w:tcPr>
            <w:tcW w:w="5387" w:type="dxa"/>
          </w:tcPr>
          <w:p w:rsidR="00DA184A" w:rsidRPr="00126112" w:rsidRDefault="00DA184A" w:rsidP="003C606E">
            <w:pPr>
              <w:tabs>
                <w:tab w:val="left" w:pos="0"/>
              </w:tabs>
              <w:spacing w:line="360" w:lineRule="auto"/>
              <w:ind w:left="29"/>
              <w:jc w:val="both"/>
              <w:rPr>
                <w:sz w:val="28"/>
                <w:szCs w:val="28"/>
              </w:rPr>
            </w:pPr>
            <w:r w:rsidRPr="00126112">
              <w:rPr>
                <w:sz w:val="28"/>
                <w:szCs w:val="28"/>
              </w:rPr>
              <w:t xml:space="preserve">Кропивницька районна державна </w:t>
            </w:r>
            <w:r w:rsidRPr="00126112">
              <w:rPr>
                <w:sz w:val="28"/>
                <w:szCs w:val="28"/>
              </w:rPr>
              <w:lastRenderedPageBreak/>
              <w:t>адміністрація, структурні підрозділи райдержадміністрації.</w:t>
            </w:r>
          </w:p>
        </w:tc>
      </w:tr>
      <w:tr w:rsidR="00DA184A" w:rsidRPr="00126112" w:rsidTr="003C606E">
        <w:tc>
          <w:tcPr>
            <w:tcW w:w="1073" w:type="dxa"/>
          </w:tcPr>
          <w:p w:rsidR="00DA184A" w:rsidRPr="00126112" w:rsidRDefault="00DA184A" w:rsidP="003C606E">
            <w:pPr>
              <w:autoSpaceDE w:val="0"/>
              <w:autoSpaceDN w:val="0"/>
              <w:adjustRightInd w:val="0"/>
              <w:spacing w:line="360" w:lineRule="auto"/>
              <w:jc w:val="center"/>
              <w:rPr>
                <w:sz w:val="28"/>
                <w:szCs w:val="28"/>
              </w:rPr>
            </w:pPr>
            <w:r w:rsidRPr="00126112">
              <w:rPr>
                <w:sz w:val="28"/>
                <w:szCs w:val="28"/>
              </w:rPr>
              <w:lastRenderedPageBreak/>
              <w:t>6.</w:t>
            </w:r>
          </w:p>
        </w:tc>
        <w:tc>
          <w:tcPr>
            <w:tcW w:w="3033" w:type="dxa"/>
          </w:tcPr>
          <w:p w:rsidR="00DA184A" w:rsidRPr="00126112" w:rsidRDefault="00DA184A" w:rsidP="003C606E">
            <w:pPr>
              <w:autoSpaceDE w:val="0"/>
              <w:autoSpaceDN w:val="0"/>
              <w:adjustRightInd w:val="0"/>
              <w:spacing w:line="360" w:lineRule="auto"/>
              <w:jc w:val="both"/>
              <w:rPr>
                <w:sz w:val="28"/>
                <w:szCs w:val="28"/>
              </w:rPr>
            </w:pPr>
            <w:r w:rsidRPr="00126112">
              <w:rPr>
                <w:sz w:val="28"/>
                <w:szCs w:val="28"/>
              </w:rPr>
              <w:t>Термін реалізації Програми</w:t>
            </w:r>
          </w:p>
        </w:tc>
        <w:tc>
          <w:tcPr>
            <w:tcW w:w="5387" w:type="dxa"/>
          </w:tcPr>
          <w:p w:rsidR="00DA184A" w:rsidRPr="00126112" w:rsidRDefault="00DA184A" w:rsidP="003C606E">
            <w:pPr>
              <w:autoSpaceDE w:val="0"/>
              <w:autoSpaceDN w:val="0"/>
              <w:adjustRightInd w:val="0"/>
              <w:spacing w:line="360" w:lineRule="auto"/>
              <w:jc w:val="both"/>
              <w:rPr>
                <w:sz w:val="28"/>
                <w:szCs w:val="28"/>
              </w:rPr>
            </w:pPr>
            <w:r w:rsidRPr="00126112">
              <w:rPr>
                <w:sz w:val="28"/>
                <w:szCs w:val="28"/>
              </w:rPr>
              <w:t>2021-2022 роки.</w:t>
            </w:r>
          </w:p>
        </w:tc>
      </w:tr>
      <w:tr w:rsidR="00DA184A" w:rsidRPr="00126112" w:rsidTr="003C606E">
        <w:tc>
          <w:tcPr>
            <w:tcW w:w="1073" w:type="dxa"/>
          </w:tcPr>
          <w:p w:rsidR="00DA184A" w:rsidRPr="00126112" w:rsidRDefault="00DA184A" w:rsidP="003C606E">
            <w:pPr>
              <w:autoSpaceDE w:val="0"/>
              <w:autoSpaceDN w:val="0"/>
              <w:adjustRightInd w:val="0"/>
              <w:spacing w:line="360" w:lineRule="auto"/>
              <w:jc w:val="center"/>
              <w:rPr>
                <w:sz w:val="28"/>
                <w:szCs w:val="28"/>
              </w:rPr>
            </w:pPr>
            <w:r w:rsidRPr="00126112">
              <w:rPr>
                <w:sz w:val="28"/>
                <w:szCs w:val="28"/>
              </w:rPr>
              <w:t>7.</w:t>
            </w:r>
          </w:p>
        </w:tc>
        <w:tc>
          <w:tcPr>
            <w:tcW w:w="3033" w:type="dxa"/>
          </w:tcPr>
          <w:p w:rsidR="00DA184A" w:rsidRPr="00126112" w:rsidRDefault="00DA184A" w:rsidP="003C606E">
            <w:pPr>
              <w:tabs>
                <w:tab w:val="left" w:pos="0"/>
              </w:tabs>
              <w:spacing w:line="360" w:lineRule="auto"/>
              <w:jc w:val="both"/>
              <w:rPr>
                <w:sz w:val="28"/>
                <w:szCs w:val="28"/>
              </w:rPr>
            </w:pPr>
            <w:r w:rsidRPr="00126112">
              <w:rPr>
                <w:sz w:val="28"/>
                <w:szCs w:val="28"/>
              </w:rPr>
              <w:t>Перелік бюджетів, які беруть участь у виконанні програми</w:t>
            </w:r>
          </w:p>
        </w:tc>
        <w:tc>
          <w:tcPr>
            <w:tcW w:w="5387" w:type="dxa"/>
          </w:tcPr>
          <w:p w:rsidR="00DA184A" w:rsidRPr="00126112" w:rsidRDefault="00DA184A" w:rsidP="003C606E">
            <w:pPr>
              <w:autoSpaceDE w:val="0"/>
              <w:autoSpaceDN w:val="0"/>
              <w:adjustRightInd w:val="0"/>
              <w:spacing w:line="360" w:lineRule="auto"/>
              <w:jc w:val="both"/>
              <w:rPr>
                <w:sz w:val="28"/>
                <w:szCs w:val="28"/>
              </w:rPr>
            </w:pPr>
            <w:r w:rsidRPr="00126112">
              <w:rPr>
                <w:sz w:val="28"/>
                <w:szCs w:val="28"/>
              </w:rPr>
              <w:t>Бюджети територіальних громад, районний бюджет  та з інших джерел, не заборонених чинним законодавством.</w:t>
            </w:r>
          </w:p>
        </w:tc>
      </w:tr>
      <w:tr w:rsidR="00DA184A" w:rsidRPr="00126112" w:rsidTr="003C606E">
        <w:tc>
          <w:tcPr>
            <w:tcW w:w="1073" w:type="dxa"/>
          </w:tcPr>
          <w:p w:rsidR="00DA184A" w:rsidRPr="00126112" w:rsidRDefault="00DA184A" w:rsidP="003C606E">
            <w:pPr>
              <w:autoSpaceDE w:val="0"/>
              <w:autoSpaceDN w:val="0"/>
              <w:adjustRightInd w:val="0"/>
              <w:spacing w:line="360" w:lineRule="auto"/>
              <w:jc w:val="center"/>
              <w:rPr>
                <w:sz w:val="28"/>
                <w:szCs w:val="28"/>
              </w:rPr>
            </w:pPr>
            <w:r w:rsidRPr="00126112">
              <w:rPr>
                <w:sz w:val="28"/>
                <w:szCs w:val="28"/>
              </w:rPr>
              <w:t>8.</w:t>
            </w:r>
          </w:p>
        </w:tc>
        <w:tc>
          <w:tcPr>
            <w:tcW w:w="3033" w:type="dxa"/>
          </w:tcPr>
          <w:p w:rsidR="00DA184A" w:rsidRPr="00126112" w:rsidRDefault="00DA184A" w:rsidP="003C606E">
            <w:pPr>
              <w:autoSpaceDE w:val="0"/>
              <w:autoSpaceDN w:val="0"/>
              <w:adjustRightInd w:val="0"/>
              <w:spacing w:line="360" w:lineRule="auto"/>
              <w:jc w:val="both"/>
              <w:rPr>
                <w:sz w:val="28"/>
                <w:szCs w:val="28"/>
              </w:rPr>
            </w:pPr>
            <w:r w:rsidRPr="00126112">
              <w:rPr>
                <w:sz w:val="28"/>
                <w:szCs w:val="28"/>
              </w:rPr>
              <w:t>Загальний обсяг фінансових ресурсів, необхідних для реалізації програми, всього, тис. грн. у тому числі:</w:t>
            </w:r>
          </w:p>
        </w:tc>
        <w:tc>
          <w:tcPr>
            <w:tcW w:w="5387" w:type="dxa"/>
          </w:tcPr>
          <w:p w:rsidR="00DA184A" w:rsidRPr="00126112" w:rsidRDefault="00DA184A" w:rsidP="003C606E">
            <w:pPr>
              <w:autoSpaceDE w:val="0"/>
              <w:autoSpaceDN w:val="0"/>
              <w:adjustRightInd w:val="0"/>
              <w:spacing w:line="360" w:lineRule="auto"/>
              <w:jc w:val="both"/>
              <w:rPr>
                <w:sz w:val="28"/>
                <w:szCs w:val="28"/>
              </w:rPr>
            </w:pPr>
          </w:p>
          <w:p w:rsidR="00DA184A" w:rsidRPr="00126112" w:rsidRDefault="00DA184A" w:rsidP="003C606E">
            <w:pPr>
              <w:autoSpaceDE w:val="0"/>
              <w:autoSpaceDN w:val="0"/>
              <w:adjustRightInd w:val="0"/>
              <w:spacing w:line="360" w:lineRule="auto"/>
              <w:jc w:val="both"/>
              <w:rPr>
                <w:sz w:val="28"/>
                <w:szCs w:val="28"/>
              </w:rPr>
            </w:pPr>
            <w:r>
              <w:rPr>
                <w:sz w:val="28"/>
                <w:szCs w:val="28"/>
              </w:rPr>
              <w:t>3</w:t>
            </w:r>
            <w:r w:rsidRPr="00126112">
              <w:rPr>
                <w:sz w:val="28"/>
                <w:szCs w:val="28"/>
              </w:rPr>
              <w:t xml:space="preserve"> 000,0 тис.грн.</w:t>
            </w:r>
          </w:p>
        </w:tc>
      </w:tr>
      <w:tr w:rsidR="00DA184A" w:rsidRPr="00126112" w:rsidTr="003C606E">
        <w:tc>
          <w:tcPr>
            <w:tcW w:w="1073" w:type="dxa"/>
          </w:tcPr>
          <w:p w:rsidR="00DA184A" w:rsidRPr="00126112" w:rsidRDefault="00DA184A" w:rsidP="001A2C34">
            <w:pPr>
              <w:autoSpaceDE w:val="0"/>
              <w:autoSpaceDN w:val="0"/>
              <w:adjustRightInd w:val="0"/>
              <w:jc w:val="center"/>
              <w:rPr>
                <w:sz w:val="28"/>
                <w:szCs w:val="28"/>
              </w:rPr>
            </w:pPr>
            <w:r w:rsidRPr="00126112">
              <w:rPr>
                <w:sz w:val="28"/>
                <w:szCs w:val="28"/>
              </w:rPr>
              <w:t>8.1</w:t>
            </w:r>
          </w:p>
        </w:tc>
        <w:tc>
          <w:tcPr>
            <w:tcW w:w="3033" w:type="dxa"/>
          </w:tcPr>
          <w:p w:rsidR="00DA184A" w:rsidRPr="00126112" w:rsidRDefault="00DA184A" w:rsidP="001A2C34">
            <w:pPr>
              <w:autoSpaceDE w:val="0"/>
              <w:autoSpaceDN w:val="0"/>
              <w:adjustRightInd w:val="0"/>
              <w:jc w:val="both"/>
              <w:rPr>
                <w:sz w:val="28"/>
                <w:szCs w:val="28"/>
              </w:rPr>
            </w:pPr>
            <w:r w:rsidRPr="00126112">
              <w:rPr>
                <w:sz w:val="28"/>
                <w:szCs w:val="28"/>
              </w:rPr>
              <w:t>Кошти районного бюджету</w:t>
            </w:r>
          </w:p>
        </w:tc>
        <w:tc>
          <w:tcPr>
            <w:tcW w:w="5387" w:type="dxa"/>
          </w:tcPr>
          <w:p w:rsidR="00DA184A" w:rsidRPr="00126112" w:rsidRDefault="00DA184A" w:rsidP="001A2C34">
            <w:pPr>
              <w:autoSpaceDE w:val="0"/>
              <w:autoSpaceDN w:val="0"/>
              <w:adjustRightInd w:val="0"/>
              <w:jc w:val="both"/>
              <w:rPr>
                <w:sz w:val="28"/>
                <w:szCs w:val="28"/>
              </w:rPr>
            </w:pPr>
            <w:r>
              <w:rPr>
                <w:sz w:val="28"/>
                <w:szCs w:val="28"/>
              </w:rPr>
              <w:t>2</w:t>
            </w:r>
            <w:r w:rsidRPr="00126112">
              <w:rPr>
                <w:sz w:val="28"/>
                <w:szCs w:val="28"/>
              </w:rPr>
              <w:t xml:space="preserve"> 000,0 тис.грн.</w:t>
            </w:r>
          </w:p>
        </w:tc>
      </w:tr>
      <w:tr w:rsidR="00DA184A" w:rsidRPr="00126112" w:rsidTr="003C606E">
        <w:tc>
          <w:tcPr>
            <w:tcW w:w="1073" w:type="dxa"/>
          </w:tcPr>
          <w:p w:rsidR="00DA184A" w:rsidRPr="00126112" w:rsidRDefault="00DA184A" w:rsidP="001A2C34">
            <w:pPr>
              <w:autoSpaceDE w:val="0"/>
              <w:autoSpaceDN w:val="0"/>
              <w:adjustRightInd w:val="0"/>
              <w:jc w:val="center"/>
              <w:rPr>
                <w:sz w:val="28"/>
                <w:szCs w:val="28"/>
              </w:rPr>
            </w:pPr>
            <w:r w:rsidRPr="00126112">
              <w:rPr>
                <w:sz w:val="28"/>
                <w:szCs w:val="28"/>
              </w:rPr>
              <w:t>8.2</w:t>
            </w:r>
          </w:p>
        </w:tc>
        <w:tc>
          <w:tcPr>
            <w:tcW w:w="3033" w:type="dxa"/>
          </w:tcPr>
          <w:p w:rsidR="00DA184A" w:rsidRPr="00126112" w:rsidRDefault="00DA184A" w:rsidP="001A2C34">
            <w:pPr>
              <w:autoSpaceDE w:val="0"/>
              <w:autoSpaceDN w:val="0"/>
              <w:adjustRightInd w:val="0"/>
              <w:jc w:val="both"/>
              <w:rPr>
                <w:sz w:val="28"/>
                <w:szCs w:val="28"/>
              </w:rPr>
            </w:pPr>
            <w:r w:rsidRPr="00126112">
              <w:rPr>
                <w:sz w:val="28"/>
                <w:szCs w:val="28"/>
              </w:rPr>
              <w:t>Кошти з бюджетів ТГ</w:t>
            </w:r>
          </w:p>
        </w:tc>
        <w:tc>
          <w:tcPr>
            <w:tcW w:w="5387" w:type="dxa"/>
          </w:tcPr>
          <w:p w:rsidR="00DA184A" w:rsidRPr="00126112" w:rsidRDefault="00DA184A" w:rsidP="001A2C34">
            <w:pPr>
              <w:autoSpaceDE w:val="0"/>
              <w:autoSpaceDN w:val="0"/>
              <w:adjustRightInd w:val="0"/>
              <w:jc w:val="both"/>
              <w:rPr>
                <w:sz w:val="28"/>
                <w:szCs w:val="28"/>
              </w:rPr>
            </w:pPr>
            <w:r w:rsidRPr="00126112">
              <w:rPr>
                <w:sz w:val="28"/>
                <w:szCs w:val="28"/>
              </w:rPr>
              <w:t>1 000,0 тис.грн.</w:t>
            </w:r>
          </w:p>
        </w:tc>
      </w:tr>
    </w:tbl>
    <w:p w:rsidR="00DA184A" w:rsidRPr="00126112" w:rsidRDefault="00DA184A" w:rsidP="003C606E">
      <w:pPr>
        <w:spacing w:line="360" w:lineRule="auto"/>
        <w:jc w:val="center"/>
        <w:rPr>
          <w:sz w:val="28"/>
          <w:szCs w:val="28"/>
        </w:rPr>
      </w:pPr>
    </w:p>
    <w:p w:rsidR="00DA184A" w:rsidRPr="00126112" w:rsidRDefault="00DA184A" w:rsidP="003C606E">
      <w:pPr>
        <w:spacing w:after="160" w:line="360" w:lineRule="auto"/>
        <w:jc w:val="center"/>
        <w:rPr>
          <w:b/>
          <w:sz w:val="28"/>
          <w:szCs w:val="28"/>
        </w:rPr>
      </w:pPr>
      <w:r w:rsidRPr="00126112">
        <w:rPr>
          <w:b/>
          <w:sz w:val="28"/>
          <w:szCs w:val="28"/>
        </w:rPr>
        <w:t>ІІ. Загальна частина</w:t>
      </w:r>
    </w:p>
    <w:p w:rsidR="00DA184A" w:rsidRPr="00126112" w:rsidRDefault="00DA184A" w:rsidP="003C606E">
      <w:pPr>
        <w:spacing w:after="160" w:line="360" w:lineRule="auto"/>
        <w:ind w:firstLine="567"/>
        <w:jc w:val="both"/>
        <w:rPr>
          <w:b/>
          <w:sz w:val="28"/>
          <w:szCs w:val="28"/>
        </w:rPr>
      </w:pPr>
      <w:r w:rsidRPr="00126112">
        <w:rPr>
          <w:sz w:val="28"/>
          <w:szCs w:val="28"/>
        </w:rPr>
        <w:t>В умовах формування громадянського суспільства пріоритетне значення набуває встановлення постійного, ефективного й конструктивного діалогу органів влади з громадськістю.</w:t>
      </w:r>
    </w:p>
    <w:p w:rsidR="00DA184A" w:rsidRPr="00126112" w:rsidRDefault="00DA184A" w:rsidP="003C606E">
      <w:pPr>
        <w:spacing w:line="360" w:lineRule="auto"/>
        <w:ind w:firstLine="567"/>
        <w:jc w:val="both"/>
        <w:rPr>
          <w:sz w:val="28"/>
          <w:szCs w:val="28"/>
        </w:rPr>
      </w:pPr>
      <w:r w:rsidRPr="00126112">
        <w:rPr>
          <w:sz w:val="28"/>
          <w:szCs w:val="28"/>
        </w:rPr>
        <w:t>Ефективне управління регіоном можливе тільки за умови високого рівня довіри до органів влади більшості громадян, залучення їх до формування та реалізації державної політики в усіх сферах. Очікування мешканців регіону пов’язані з прозорістю й відкритістю влади, її підзвітністю та підконтрольністю громаді.</w:t>
      </w:r>
    </w:p>
    <w:p w:rsidR="00DA184A" w:rsidRPr="00126112" w:rsidRDefault="00DA184A" w:rsidP="003C606E">
      <w:pPr>
        <w:tabs>
          <w:tab w:val="left" w:pos="851"/>
          <w:tab w:val="left" w:pos="993"/>
        </w:tabs>
        <w:spacing w:line="360" w:lineRule="auto"/>
        <w:ind w:firstLine="567"/>
        <w:jc w:val="both"/>
        <w:rPr>
          <w:sz w:val="28"/>
          <w:szCs w:val="28"/>
        </w:rPr>
      </w:pPr>
      <w:r w:rsidRPr="00126112">
        <w:rPr>
          <w:sz w:val="28"/>
          <w:szCs w:val="28"/>
        </w:rPr>
        <w:t>З метою забезпечення прозорої, ефективної діяльності органів виконавчої влади, фінансової децентралізації та сприяння формуванню фінансово спроможних територіальних громад, підвищення рівня фінансування власних та делегованих повноважень адміністративно-територіальних утворень започатковано впровадити ряд реформ у всіх галузях та сферах діяльності, також заплановано продовжити процес децентралізації повноважень.</w:t>
      </w:r>
    </w:p>
    <w:p w:rsidR="00DA184A" w:rsidRPr="00126112" w:rsidRDefault="00DA184A" w:rsidP="003C606E">
      <w:pPr>
        <w:spacing w:after="6" w:line="360" w:lineRule="auto"/>
        <w:ind w:right="113" w:firstLine="567"/>
        <w:jc w:val="both"/>
        <w:rPr>
          <w:sz w:val="28"/>
          <w:szCs w:val="28"/>
        </w:rPr>
      </w:pPr>
      <w:r w:rsidRPr="00126112">
        <w:rPr>
          <w:bCs/>
          <w:sz w:val="28"/>
          <w:szCs w:val="28"/>
        </w:rPr>
        <w:lastRenderedPageBreak/>
        <w:t xml:space="preserve">Також, з реалізацією державної політики децентралізації влади, підвищенням ролі місцевого самоврядування в Україні стрімко зростає потреба у постійному інформаційному супроводі програм і заходів регіональних органів влади, новостворених ТГ та отриманні населенням об’єктивної інформації. </w:t>
      </w:r>
    </w:p>
    <w:p w:rsidR="00DA184A" w:rsidRPr="00126112" w:rsidRDefault="00DA184A" w:rsidP="003C606E">
      <w:pPr>
        <w:spacing w:line="360" w:lineRule="auto"/>
        <w:ind w:firstLine="567"/>
        <w:jc w:val="both"/>
        <w:rPr>
          <w:sz w:val="28"/>
          <w:szCs w:val="28"/>
        </w:rPr>
      </w:pPr>
      <w:r w:rsidRPr="00126112">
        <w:rPr>
          <w:sz w:val="28"/>
          <w:szCs w:val="28"/>
        </w:rPr>
        <w:t>На працівників органів виконавчої влади, в тому числі структурних підрозділів райдержадміністрації, покладено багато завдань щодо забезпечення ефективної реалізації реформ на місцевому рівні.</w:t>
      </w:r>
    </w:p>
    <w:p w:rsidR="00DA184A" w:rsidRPr="00126112" w:rsidRDefault="00DA184A" w:rsidP="00C745F2">
      <w:pPr>
        <w:spacing w:line="360" w:lineRule="auto"/>
        <w:ind w:right="-5" w:firstLine="567"/>
        <w:jc w:val="both"/>
        <w:rPr>
          <w:sz w:val="28"/>
          <w:szCs w:val="28"/>
        </w:rPr>
      </w:pPr>
      <w:r w:rsidRPr="00126112">
        <w:rPr>
          <w:sz w:val="28"/>
          <w:szCs w:val="28"/>
          <w:shd w:val="clear" w:color="auto" w:fill="FFFFFF"/>
        </w:rPr>
        <w:t xml:space="preserve">Зокрема, райдержадміністрацій зобов’язані </w:t>
      </w:r>
      <w:r w:rsidRPr="00126112">
        <w:rPr>
          <w:sz w:val="28"/>
          <w:szCs w:val="28"/>
        </w:rPr>
        <w:t>забезпечити координацію роботи щодо:</w:t>
      </w:r>
    </w:p>
    <w:p w:rsidR="00DA184A" w:rsidRPr="00126112" w:rsidRDefault="00DA184A" w:rsidP="006E1E6D">
      <w:pPr>
        <w:spacing w:line="360" w:lineRule="auto"/>
        <w:ind w:right="-5" w:firstLine="567"/>
        <w:jc w:val="both"/>
        <w:rPr>
          <w:sz w:val="28"/>
          <w:szCs w:val="28"/>
        </w:rPr>
      </w:pPr>
      <w:r w:rsidRPr="00126112">
        <w:rPr>
          <w:sz w:val="28"/>
          <w:szCs w:val="28"/>
        </w:rPr>
        <w:t>- збереження і раціонального використанням державного майна;</w:t>
      </w:r>
    </w:p>
    <w:p w:rsidR="00DA184A" w:rsidRPr="00126112" w:rsidRDefault="00DA184A" w:rsidP="006E1E6D">
      <w:pPr>
        <w:spacing w:line="360" w:lineRule="auto"/>
        <w:ind w:right="-5" w:firstLine="567"/>
        <w:jc w:val="both"/>
        <w:rPr>
          <w:sz w:val="28"/>
          <w:szCs w:val="28"/>
        </w:rPr>
      </w:pPr>
      <w:r w:rsidRPr="00126112">
        <w:rPr>
          <w:sz w:val="28"/>
          <w:szCs w:val="28"/>
        </w:rPr>
        <w:t>- дотримання стану фінансової дисципліни, обліку та звітності, виконанням державних контрактів і зобов’язань перед бюджетом, належним і своєчасним відшкодуванням шкоди, заподіяної державі;</w:t>
      </w:r>
    </w:p>
    <w:p w:rsidR="00DA184A" w:rsidRPr="00126112" w:rsidRDefault="00DA184A" w:rsidP="00C745F2">
      <w:pPr>
        <w:spacing w:line="360" w:lineRule="auto"/>
        <w:ind w:right="-5" w:firstLine="567"/>
        <w:jc w:val="both"/>
        <w:rPr>
          <w:sz w:val="28"/>
          <w:szCs w:val="28"/>
        </w:rPr>
      </w:pPr>
      <w:r w:rsidRPr="00126112">
        <w:rPr>
          <w:sz w:val="28"/>
          <w:szCs w:val="28"/>
        </w:rPr>
        <w:t>- законності прийнятих рішень сільськими, селищними, міськими (міст районного значення) радами;</w:t>
      </w:r>
    </w:p>
    <w:p w:rsidR="00DA184A" w:rsidRPr="00126112" w:rsidRDefault="00DA184A" w:rsidP="003C606E">
      <w:pPr>
        <w:spacing w:line="360" w:lineRule="auto"/>
        <w:ind w:firstLine="567"/>
        <w:jc w:val="both"/>
        <w:rPr>
          <w:sz w:val="28"/>
          <w:szCs w:val="28"/>
        </w:rPr>
      </w:pPr>
      <w:r w:rsidRPr="00126112">
        <w:rPr>
          <w:sz w:val="28"/>
          <w:szCs w:val="28"/>
        </w:rPr>
        <w:t>Відповідно до додатку 1  Методичних рекомендацій щодо організації та забезпечення діяльності об’єднаної територіальної громади у сфері соціального захисту населення та захисту прав дітей, затверджених наказом Міністерства соціальної політики України від 14 червня 2018 року №890 «Про деякі питання діяльності об’єднаної територіальної громади щодо надання послуг із соціальної підтримки населенню та захисту прав дітей» (із змінами від 18 липня 2018 року №1029а) управлінням соціального захисту населення райдержадміністрації жителям району в тому числі об’єднаним територіальним громадам, надається понад 60 послуг із соціальної підтримки населення.</w:t>
      </w:r>
    </w:p>
    <w:p w:rsidR="00DA184A" w:rsidRPr="00126112" w:rsidRDefault="00DA184A" w:rsidP="003C606E">
      <w:pPr>
        <w:spacing w:line="360" w:lineRule="auto"/>
        <w:ind w:firstLine="708"/>
        <w:jc w:val="both"/>
        <w:rPr>
          <w:sz w:val="28"/>
          <w:szCs w:val="28"/>
        </w:rPr>
      </w:pPr>
      <w:r w:rsidRPr="00126112">
        <w:rPr>
          <w:sz w:val="28"/>
          <w:szCs w:val="28"/>
        </w:rPr>
        <w:t>Враховуючи кількість утворених ТГ у Кропивницькому районі, недостатнім фінансуванням та значно збільшеним навантаженням на працюючих державних службовців виникла потреба у додатковому фінансуванні за рахунок трансфертів з ТГ, районного бюджету та інших джерел не заборонених чинним законодавством.</w:t>
      </w:r>
    </w:p>
    <w:p w:rsidR="00DA184A" w:rsidRPr="00126112" w:rsidRDefault="00DA184A" w:rsidP="003C606E">
      <w:pPr>
        <w:spacing w:line="360" w:lineRule="auto"/>
        <w:ind w:firstLine="708"/>
        <w:jc w:val="both"/>
        <w:rPr>
          <w:sz w:val="28"/>
          <w:szCs w:val="28"/>
        </w:rPr>
      </w:pPr>
      <w:r w:rsidRPr="00126112">
        <w:rPr>
          <w:sz w:val="28"/>
          <w:szCs w:val="28"/>
        </w:rPr>
        <w:lastRenderedPageBreak/>
        <w:t>Низький рівень заробітної плати призводить до не популяризації державної служби серед молоді, а також не сприяє залученню для проходження державної служби висококваліфікованих спеціалістів.</w:t>
      </w:r>
    </w:p>
    <w:p w:rsidR="00DA184A" w:rsidRPr="00126112" w:rsidRDefault="00DA184A" w:rsidP="003C606E">
      <w:pPr>
        <w:spacing w:line="360" w:lineRule="auto"/>
        <w:ind w:firstLine="709"/>
        <w:jc w:val="both"/>
        <w:rPr>
          <w:sz w:val="28"/>
          <w:szCs w:val="28"/>
        </w:rPr>
      </w:pPr>
      <w:r w:rsidRPr="00126112">
        <w:rPr>
          <w:sz w:val="28"/>
          <w:szCs w:val="28"/>
        </w:rPr>
        <w:t>Заробітна плата державних службовців на сьогодні менша від заробітної плати працівника, що виконує некваліфіковану роботу.</w:t>
      </w:r>
    </w:p>
    <w:p w:rsidR="00DA184A" w:rsidRPr="00126112" w:rsidRDefault="00DA184A" w:rsidP="003C606E">
      <w:pPr>
        <w:spacing w:line="360" w:lineRule="auto"/>
        <w:ind w:firstLine="709"/>
        <w:jc w:val="both"/>
        <w:rPr>
          <w:sz w:val="28"/>
          <w:szCs w:val="28"/>
        </w:rPr>
      </w:pPr>
      <w:r w:rsidRPr="00126112">
        <w:rPr>
          <w:sz w:val="28"/>
          <w:szCs w:val="28"/>
        </w:rPr>
        <w:t>Починаючи з 2015 року Урядом започатковано впровадити ряд реформ у різних сферах діяльності, у тому числі продовжити процес децентралізації повноважень. Перед працівниками органів виконавчої влади поставлено цілий ряд завдань щодо забезпечення ефективної реалізації реформ на місцевому рівні, у тому числі з урахуванням змін до податкового законодавства, нової концепції міжбюджетних стосунків та підвищення самостійності місцевих бюджетів. Передано додаткові повноваження у сферах освіти, охорони здоров’я, житлово-комунального господарства тощо. Також запроваджуються умови для стимулювання об’єднання територіальних громад з низькою фінансовою спроможністю та чисельністю мешканців (для подальшого проведення адміністративної реформи).</w:t>
      </w:r>
    </w:p>
    <w:p w:rsidR="00DA184A" w:rsidRPr="00126112" w:rsidRDefault="00DA184A" w:rsidP="003C606E">
      <w:pPr>
        <w:spacing w:line="360" w:lineRule="auto"/>
        <w:ind w:firstLine="709"/>
        <w:jc w:val="both"/>
        <w:rPr>
          <w:sz w:val="28"/>
          <w:szCs w:val="28"/>
        </w:rPr>
      </w:pPr>
      <w:r w:rsidRPr="00126112">
        <w:rPr>
          <w:sz w:val="28"/>
          <w:szCs w:val="28"/>
        </w:rPr>
        <w:t>За створення умов для розвитку економіки, господарської та соціально-культурної діяльності відповідної території повна відповідальність покладається на місцеві органи виконавчої влади, особливо районної ланки.</w:t>
      </w:r>
    </w:p>
    <w:p w:rsidR="00DA184A" w:rsidRPr="00126112" w:rsidRDefault="00DA184A" w:rsidP="003C606E">
      <w:pPr>
        <w:spacing w:line="360" w:lineRule="auto"/>
        <w:jc w:val="center"/>
        <w:rPr>
          <w:b/>
          <w:sz w:val="28"/>
          <w:szCs w:val="28"/>
        </w:rPr>
      </w:pPr>
    </w:p>
    <w:p w:rsidR="00DA184A" w:rsidRPr="00126112" w:rsidRDefault="00DA184A" w:rsidP="003C606E">
      <w:pPr>
        <w:spacing w:line="360" w:lineRule="auto"/>
        <w:jc w:val="center"/>
        <w:rPr>
          <w:b/>
          <w:sz w:val="28"/>
          <w:szCs w:val="28"/>
        </w:rPr>
      </w:pPr>
      <w:r w:rsidRPr="00126112">
        <w:rPr>
          <w:b/>
          <w:sz w:val="28"/>
          <w:szCs w:val="28"/>
        </w:rPr>
        <w:t>ІІІ. Мета Програми</w:t>
      </w:r>
    </w:p>
    <w:p w:rsidR="00DA184A" w:rsidRPr="00126112" w:rsidRDefault="00DA184A" w:rsidP="003C606E">
      <w:pPr>
        <w:spacing w:line="360" w:lineRule="auto"/>
        <w:jc w:val="both"/>
        <w:rPr>
          <w:sz w:val="28"/>
          <w:szCs w:val="28"/>
          <w:u w:val="single"/>
        </w:rPr>
      </w:pPr>
      <w:r w:rsidRPr="00126112">
        <w:rPr>
          <w:sz w:val="28"/>
          <w:szCs w:val="28"/>
        </w:rPr>
        <w:t xml:space="preserve">           Підвищення соціальних стандартів для державних службовців, а саме: виплати всіх складових заробітної плати гарантованих чинним законодавством, що забезпечить належний рівень існування та життя державних службовців та керівників на яких не поширюється дія Закону України «Про державну службу», що в свою чергу призведене до якісного та ефективного, з високим рівнем професіоналізму виконання своїх посадових обов’язків та делегованих повноважень органів виконавчої влади. </w:t>
      </w:r>
    </w:p>
    <w:p w:rsidR="00DA184A" w:rsidRPr="00126112" w:rsidRDefault="00DA184A" w:rsidP="003C606E">
      <w:pPr>
        <w:spacing w:line="360" w:lineRule="auto"/>
        <w:jc w:val="center"/>
        <w:rPr>
          <w:b/>
          <w:sz w:val="28"/>
          <w:szCs w:val="28"/>
        </w:rPr>
      </w:pPr>
      <w:r w:rsidRPr="00126112">
        <w:rPr>
          <w:b/>
          <w:sz w:val="28"/>
          <w:szCs w:val="28"/>
        </w:rPr>
        <w:t>ІV. Завдання Програми</w:t>
      </w:r>
    </w:p>
    <w:p w:rsidR="00DA184A" w:rsidRPr="00126112" w:rsidRDefault="00DA184A" w:rsidP="003C606E">
      <w:pPr>
        <w:spacing w:line="360" w:lineRule="auto"/>
        <w:ind w:firstLine="720"/>
        <w:jc w:val="both"/>
        <w:rPr>
          <w:sz w:val="28"/>
          <w:szCs w:val="28"/>
        </w:rPr>
      </w:pPr>
      <w:r w:rsidRPr="00126112">
        <w:rPr>
          <w:sz w:val="28"/>
          <w:szCs w:val="28"/>
        </w:rPr>
        <w:t>Програма розроблена для підвищення ефективності роботи районної державної адміністрації та її структурних підрозділів та передбачає реалізацію таких пріоритетних завдань:</w:t>
      </w:r>
    </w:p>
    <w:p w:rsidR="00DA184A" w:rsidRPr="00126112" w:rsidRDefault="00DA184A" w:rsidP="003C606E">
      <w:pPr>
        <w:spacing w:line="360" w:lineRule="auto"/>
        <w:ind w:firstLine="720"/>
        <w:jc w:val="both"/>
        <w:rPr>
          <w:sz w:val="28"/>
          <w:szCs w:val="28"/>
        </w:rPr>
      </w:pPr>
      <w:r w:rsidRPr="00126112">
        <w:rPr>
          <w:sz w:val="28"/>
          <w:szCs w:val="28"/>
        </w:rPr>
        <w:lastRenderedPageBreak/>
        <w:t>- фінансове забезпечення видатків на поточне утримання структурних підрозділів райдержадміністрації;</w:t>
      </w:r>
    </w:p>
    <w:p w:rsidR="00DA184A" w:rsidRPr="00126112" w:rsidRDefault="00DA184A" w:rsidP="003C606E">
      <w:pPr>
        <w:spacing w:line="360" w:lineRule="auto"/>
        <w:ind w:firstLine="720"/>
        <w:jc w:val="both"/>
        <w:rPr>
          <w:sz w:val="28"/>
          <w:szCs w:val="28"/>
        </w:rPr>
      </w:pPr>
      <w:r w:rsidRPr="00126112">
        <w:rPr>
          <w:sz w:val="28"/>
          <w:szCs w:val="28"/>
        </w:rPr>
        <w:t>- підвищення ефективності роботи структурних підрозділів райдержадміністрації по здійсненню делегованих їм повноважень органами місцевого самоврядування, надання якісних послуг громадянам на рівні європейських стандартів, оздоровлення відносин між органами влади та населенням, інститутами громадянського суспільства.</w:t>
      </w:r>
    </w:p>
    <w:p w:rsidR="00DA184A" w:rsidRPr="00126112" w:rsidRDefault="00DA184A" w:rsidP="003C606E">
      <w:pPr>
        <w:spacing w:line="360" w:lineRule="auto"/>
        <w:ind w:firstLine="720"/>
        <w:jc w:val="center"/>
        <w:rPr>
          <w:b/>
          <w:bCs/>
          <w:sz w:val="28"/>
          <w:szCs w:val="28"/>
        </w:rPr>
      </w:pPr>
    </w:p>
    <w:p w:rsidR="00DA184A" w:rsidRPr="00126112" w:rsidRDefault="00DA184A" w:rsidP="003C606E">
      <w:pPr>
        <w:spacing w:line="360" w:lineRule="auto"/>
        <w:ind w:firstLine="720"/>
        <w:jc w:val="center"/>
        <w:rPr>
          <w:b/>
          <w:bCs/>
          <w:sz w:val="28"/>
          <w:szCs w:val="28"/>
        </w:rPr>
      </w:pPr>
      <w:r w:rsidRPr="00126112">
        <w:rPr>
          <w:b/>
          <w:bCs/>
          <w:sz w:val="28"/>
          <w:szCs w:val="28"/>
        </w:rPr>
        <w:t>V. Обґрунтування шляхів і засобів розв’язання проблеми,</w:t>
      </w:r>
    </w:p>
    <w:p w:rsidR="00DA184A" w:rsidRPr="00126112" w:rsidRDefault="00DA184A" w:rsidP="003C606E">
      <w:pPr>
        <w:spacing w:line="360" w:lineRule="auto"/>
        <w:ind w:firstLine="720"/>
        <w:jc w:val="center"/>
        <w:rPr>
          <w:b/>
          <w:bCs/>
          <w:sz w:val="28"/>
          <w:szCs w:val="28"/>
        </w:rPr>
      </w:pPr>
      <w:r w:rsidRPr="00126112">
        <w:rPr>
          <w:b/>
          <w:bCs/>
          <w:sz w:val="28"/>
          <w:szCs w:val="28"/>
        </w:rPr>
        <w:t>строки та етапи виконання Програми</w:t>
      </w:r>
    </w:p>
    <w:p w:rsidR="00DA184A" w:rsidRPr="00126112" w:rsidRDefault="00DA184A" w:rsidP="003C606E">
      <w:pPr>
        <w:spacing w:line="360" w:lineRule="auto"/>
        <w:ind w:firstLine="720"/>
        <w:jc w:val="both"/>
        <w:rPr>
          <w:bCs/>
          <w:sz w:val="28"/>
          <w:szCs w:val="28"/>
        </w:rPr>
      </w:pPr>
      <w:r w:rsidRPr="00126112">
        <w:rPr>
          <w:bCs/>
          <w:sz w:val="28"/>
          <w:szCs w:val="28"/>
        </w:rPr>
        <w:t>Досягнення поставлених завдань можливе за наявності кваліфікованого кадрового потенціалу, здатного до креативного мислення, постійного підвищення свого кваліфікаційного рівня.</w:t>
      </w:r>
    </w:p>
    <w:p w:rsidR="00DA184A" w:rsidRPr="00126112" w:rsidRDefault="00DA184A" w:rsidP="003C606E">
      <w:pPr>
        <w:spacing w:line="360" w:lineRule="auto"/>
        <w:ind w:firstLine="720"/>
        <w:jc w:val="both"/>
        <w:rPr>
          <w:bCs/>
          <w:sz w:val="28"/>
          <w:szCs w:val="28"/>
        </w:rPr>
      </w:pPr>
      <w:r w:rsidRPr="00126112">
        <w:rPr>
          <w:bCs/>
          <w:sz w:val="28"/>
          <w:szCs w:val="28"/>
        </w:rPr>
        <w:t xml:space="preserve">Одним із вагомих факторів спрямування активності працівників на досягнення конкретних результатів є мотивація (стимулювання). Ефективність мотивації та стимулювання значною мірою пов’язана з проблемою диференціації доходів працівників структурних підрозділів райдержадміністрації. Реалізація завдань програми передбачає забезпечення розміру їх заробітної плати до законодавчо встановленого рівня. </w:t>
      </w:r>
    </w:p>
    <w:p w:rsidR="00DA184A" w:rsidRPr="00126112" w:rsidRDefault="00DA184A" w:rsidP="003C606E">
      <w:pPr>
        <w:spacing w:line="360" w:lineRule="auto"/>
        <w:ind w:firstLine="720"/>
        <w:jc w:val="both"/>
        <w:rPr>
          <w:bCs/>
          <w:sz w:val="28"/>
          <w:szCs w:val="28"/>
        </w:rPr>
      </w:pPr>
      <w:r w:rsidRPr="00126112">
        <w:rPr>
          <w:bCs/>
          <w:sz w:val="28"/>
          <w:szCs w:val="28"/>
        </w:rPr>
        <w:t>Програма спрямована на створення умов для забезпечення безперебійного та ефективного виконання структурними підрозділами райдержадміністрації делегованих районною радою районній державній адміністрації повноважень та владних повноважень, вирішення проблем соціально-економічного характеру.</w:t>
      </w:r>
    </w:p>
    <w:p w:rsidR="00DA184A" w:rsidRPr="00126112" w:rsidRDefault="00DA184A" w:rsidP="003C606E">
      <w:pPr>
        <w:spacing w:line="360" w:lineRule="auto"/>
        <w:ind w:firstLine="720"/>
        <w:jc w:val="both"/>
        <w:rPr>
          <w:bCs/>
          <w:sz w:val="28"/>
          <w:szCs w:val="28"/>
        </w:rPr>
      </w:pPr>
      <w:r w:rsidRPr="00126112">
        <w:rPr>
          <w:bCs/>
          <w:sz w:val="28"/>
          <w:szCs w:val="28"/>
        </w:rPr>
        <w:t>Досягнення поставлених цілей можливе за умови належного фінансового забезпечення діяльності структурних підрозділів райдержадміністрації, що не забезпечене через недостатність коштів державного бюджету.</w:t>
      </w:r>
    </w:p>
    <w:p w:rsidR="00DA184A" w:rsidRPr="00126112" w:rsidRDefault="00DA184A" w:rsidP="003C606E">
      <w:pPr>
        <w:spacing w:line="360" w:lineRule="auto"/>
        <w:ind w:firstLine="720"/>
        <w:jc w:val="both"/>
        <w:rPr>
          <w:bCs/>
          <w:sz w:val="28"/>
          <w:szCs w:val="28"/>
        </w:rPr>
      </w:pPr>
      <w:r w:rsidRPr="00126112">
        <w:rPr>
          <w:bCs/>
          <w:sz w:val="28"/>
          <w:szCs w:val="28"/>
        </w:rPr>
        <w:t xml:space="preserve">Програма передбачає фінансове забезпечення видатків на поточне утримання структурних підрозділів райдержадміністрації – виплати в повному обсязі заробітної плати з нарахуваннями, забезпечення організаційною технікою, послуг з ремонту та відновлення оргтехніки, програмного забезпечення та інших заходів з поточного установ, що буде сприяти їх </w:t>
      </w:r>
      <w:r w:rsidRPr="00126112">
        <w:rPr>
          <w:bCs/>
          <w:sz w:val="28"/>
          <w:szCs w:val="28"/>
        </w:rPr>
        <w:lastRenderedPageBreak/>
        <w:t>ефективному функціонуванню, підвищенню оперативності та ефективності прийняття та реалізації управлінських рішень.</w:t>
      </w:r>
    </w:p>
    <w:p w:rsidR="00DA184A" w:rsidRPr="00126112" w:rsidRDefault="00DA184A" w:rsidP="003C606E">
      <w:pPr>
        <w:spacing w:line="360" w:lineRule="auto"/>
        <w:ind w:firstLine="720"/>
        <w:jc w:val="both"/>
        <w:rPr>
          <w:bCs/>
          <w:sz w:val="28"/>
          <w:szCs w:val="28"/>
        </w:rPr>
      </w:pPr>
      <w:r w:rsidRPr="00126112">
        <w:rPr>
          <w:bCs/>
          <w:sz w:val="28"/>
          <w:szCs w:val="28"/>
        </w:rPr>
        <w:t>Програма реалізується протягом 20201– 2022 років.</w:t>
      </w:r>
    </w:p>
    <w:p w:rsidR="00DA184A" w:rsidRPr="00126112" w:rsidRDefault="00DA184A" w:rsidP="003C606E">
      <w:pPr>
        <w:spacing w:line="360" w:lineRule="auto"/>
        <w:ind w:firstLine="720"/>
        <w:jc w:val="both"/>
        <w:rPr>
          <w:bCs/>
          <w:sz w:val="28"/>
          <w:szCs w:val="28"/>
        </w:rPr>
      </w:pPr>
      <w:r w:rsidRPr="00126112">
        <w:rPr>
          <w:bCs/>
          <w:sz w:val="28"/>
          <w:szCs w:val="28"/>
        </w:rPr>
        <w:t xml:space="preserve">Початок виконання Програми – 01 березня 2021 рік, закінчення – 31 грудня 2022 року. </w:t>
      </w:r>
      <w:r w:rsidRPr="00126112">
        <w:rPr>
          <w:sz w:val="28"/>
          <w:szCs w:val="28"/>
        </w:rPr>
        <w:t>(Додаток 1)</w:t>
      </w:r>
    </w:p>
    <w:p w:rsidR="00DA184A" w:rsidRPr="00126112" w:rsidRDefault="00DA184A" w:rsidP="003C606E">
      <w:pPr>
        <w:spacing w:line="360" w:lineRule="auto"/>
        <w:ind w:firstLine="720"/>
        <w:jc w:val="both"/>
        <w:rPr>
          <w:bCs/>
          <w:sz w:val="28"/>
          <w:szCs w:val="28"/>
        </w:rPr>
      </w:pPr>
      <w:r w:rsidRPr="00126112">
        <w:rPr>
          <w:sz w:val="28"/>
          <w:szCs w:val="28"/>
        </w:rPr>
        <w:t xml:space="preserve">Загальний обсяг фінансових ресурсів, необхідних для реалізації програми складає </w:t>
      </w:r>
      <w:r>
        <w:rPr>
          <w:sz w:val="28"/>
          <w:szCs w:val="28"/>
        </w:rPr>
        <w:t>3</w:t>
      </w:r>
      <w:r w:rsidRPr="00126112">
        <w:rPr>
          <w:sz w:val="28"/>
          <w:szCs w:val="28"/>
        </w:rPr>
        <w:t xml:space="preserve"> 000,0 тис. грн.</w:t>
      </w:r>
    </w:p>
    <w:p w:rsidR="00DA184A" w:rsidRPr="00126112" w:rsidRDefault="00DA184A" w:rsidP="003C606E">
      <w:pPr>
        <w:spacing w:line="360" w:lineRule="auto"/>
        <w:ind w:firstLine="720"/>
        <w:jc w:val="both"/>
        <w:rPr>
          <w:bCs/>
          <w:sz w:val="28"/>
          <w:szCs w:val="28"/>
        </w:rPr>
      </w:pPr>
      <w:r w:rsidRPr="00126112">
        <w:rPr>
          <w:bCs/>
          <w:sz w:val="28"/>
          <w:szCs w:val="28"/>
        </w:rPr>
        <w:t xml:space="preserve">Фінансування заходів Програми здійснюватиметься за рахунок коштів районного бюджету у межах бюджетних призначень за рахунок вільного залишку бюджетних коштів, або перевиконання дохідної частини загального фонду районного бюджету з урахуванням вимог статті 85 Бюджетного кодексу України, трансфертів </w:t>
      </w:r>
      <w:r w:rsidRPr="00126112">
        <w:rPr>
          <w:sz w:val="28"/>
          <w:szCs w:val="28"/>
        </w:rPr>
        <w:t>з територіальних громад та інших джерел не заборонених чинним законодавством.</w:t>
      </w:r>
    </w:p>
    <w:p w:rsidR="00DA184A" w:rsidRPr="00126112" w:rsidRDefault="00DA184A" w:rsidP="003C606E">
      <w:pPr>
        <w:spacing w:line="360" w:lineRule="auto"/>
        <w:jc w:val="center"/>
        <w:rPr>
          <w:b/>
          <w:sz w:val="28"/>
          <w:szCs w:val="28"/>
        </w:rPr>
      </w:pPr>
    </w:p>
    <w:p w:rsidR="00DA184A" w:rsidRPr="00126112" w:rsidRDefault="00DA184A" w:rsidP="003C606E">
      <w:pPr>
        <w:spacing w:line="360" w:lineRule="auto"/>
        <w:jc w:val="center"/>
        <w:rPr>
          <w:b/>
          <w:sz w:val="28"/>
          <w:szCs w:val="28"/>
        </w:rPr>
      </w:pPr>
      <w:r w:rsidRPr="00126112">
        <w:rPr>
          <w:b/>
          <w:sz w:val="28"/>
          <w:szCs w:val="28"/>
        </w:rPr>
        <w:t>VI. Напрями діяльності і заходи Програми</w:t>
      </w:r>
    </w:p>
    <w:p w:rsidR="00DA184A" w:rsidRPr="00126112" w:rsidRDefault="00DA184A" w:rsidP="003C606E">
      <w:pPr>
        <w:tabs>
          <w:tab w:val="left" w:pos="709"/>
        </w:tabs>
        <w:spacing w:line="360" w:lineRule="auto"/>
        <w:jc w:val="both"/>
        <w:rPr>
          <w:sz w:val="28"/>
          <w:szCs w:val="28"/>
        </w:rPr>
      </w:pPr>
      <w:r w:rsidRPr="00126112">
        <w:rPr>
          <w:sz w:val="28"/>
          <w:szCs w:val="28"/>
        </w:rPr>
        <w:t xml:space="preserve">          Забезпечення матеріальної підтримки державних службовців та керівників на яких не поширюється дія Закону України «Про державну службу» райдержадміністрації в частині виплати заробітної плати та інших передбачених виплат згідно чинного законодавства України для спрямування активності працівників на досягнення конкретних результатів (Додаток 2).</w:t>
      </w:r>
    </w:p>
    <w:p w:rsidR="00DA184A" w:rsidRPr="00126112" w:rsidRDefault="00DA184A" w:rsidP="003C606E">
      <w:pPr>
        <w:spacing w:line="360" w:lineRule="auto"/>
        <w:ind w:firstLine="720"/>
        <w:jc w:val="center"/>
        <w:rPr>
          <w:b/>
          <w:sz w:val="28"/>
          <w:szCs w:val="28"/>
        </w:rPr>
      </w:pPr>
    </w:p>
    <w:p w:rsidR="00DA184A" w:rsidRPr="00126112" w:rsidRDefault="00DA184A" w:rsidP="003C606E">
      <w:pPr>
        <w:spacing w:line="360" w:lineRule="auto"/>
        <w:ind w:firstLine="720"/>
        <w:jc w:val="center"/>
        <w:rPr>
          <w:b/>
          <w:bCs/>
          <w:sz w:val="28"/>
          <w:szCs w:val="28"/>
        </w:rPr>
      </w:pPr>
      <w:r w:rsidRPr="00126112">
        <w:rPr>
          <w:b/>
          <w:sz w:val="28"/>
          <w:szCs w:val="28"/>
        </w:rPr>
        <w:t>VІІ. </w:t>
      </w:r>
      <w:r w:rsidRPr="00126112">
        <w:rPr>
          <w:b/>
          <w:bCs/>
          <w:sz w:val="28"/>
          <w:szCs w:val="28"/>
        </w:rPr>
        <w:t>Координація та контроль за виконанням Програми</w:t>
      </w:r>
    </w:p>
    <w:p w:rsidR="00DA184A" w:rsidRPr="00126112" w:rsidRDefault="00DA184A" w:rsidP="003C606E">
      <w:pPr>
        <w:spacing w:line="360" w:lineRule="auto"/>
        <w:ind w:firstLine="720"/>
        <w:jc w:val="both"/>
        <w:rPr>
          <w:bCs/>
          <w:sz w:val="28"/>
          <w:szCs w:val="28"/>
        </w:rPr>
      </w:pPr>
    </w:p>
    <w:p w:rsidR="00DA184A" w:rsidRPr="00126112" w:rsidRDefault="00DA184A" w:rsidP="003C606E">
      <w:pPr>
        <w:spacing w:line="360" w:lineRule="auto"/>
        <w:ind w:firstLine="720"/>
        <w:jc w:val="both"/>
        <w:rPr>
          <w:sz w:val="28"/>
          <w:szCs w:val="28"/>
        </w:rPr>
      </w:pPr>
      <w:r w:rsidRPr="00126112">
        <w:rPr>
          <w:sz w:val="28"/>
          <w:szCs w:val="28"/>
        </w:rPr>
        <w:t>Виконання Програми покладається на Кропивницьку районну державну адміністрацію Кіровоградської області та її структурні підрозділи. Координація та контроль за виконанням Програми покладається на постійну комісію районної ради з питань бюджету та фінансів.</w:t>
      </w:r>
    </w:p>
    <w:p w:rsidR="00DA184A" w:rsidRPr="00126112" w:rsidRDefault="00DA184A" w:rsidP="003C606E">
      <w:pPr>
        <w:spacing w:line="360" w:lineRule="auto"/>
        <w:ind w:firstLine="708"/>
        <w:jc w:val="both"/>
        <w:rPr>
          <w:sz w:val="28"/>
          <w:szCs w:val="28"/>
        </w:rPr>
      </w:pPr>
      <w:r w:rsidRPr="00126112">
        <w:rPr>
          <w:sz w:val="28"/>
          <w:szCs w:val="28"/>
        </w:rPr>
        <w:t>У разі необхідності внесення змін протягом терміну виконання Програми відповідальний виконавець готує уточнення показників, заходів та вносить їх на розгляд сесії районної ради.</w:t>
      </w:r>
    </w:p>
    <w:sectPr w:rsidR="00DA184A" w:rsidRPr="00126112" w:rsidSect="00F21867">
      <w:pgSz w:w="11906" w:h="16838"/>
      <w:pgMar w:top="56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DF"/>
    <w:rsid w:val="00126112"/>
    <w:rsid w:val="001A2C34"/>
    <w:rsid w:val="001A4677"/>
    <w:rsid w:val="00221FDC"/>
    <w:rsid w:val="00362D96"/>
    <w:rsid w:val="003825F8"/>
    <w:rsid w:val="003C606E"/>
    <w:rsid w:val="003F395E"/>
    <w:rsid w:val="004641A9"/>
    <w:rsid w:val="004A6371"/>
    <w:rsid w:val="00527CB9"/>
    <w:rsid w:val="005D243A"/>
    <w:rsid w:val="006E1E6D"/>
    <w:rsid w:val="007140E9"/>
    <w:rsid w:val="007968A5"/>
    <w:rsid w:val="00824FD2"/>
    <w:rsid w:val="00835DDF"/>
    <w:rsid w:val="00B07220"/>
    <w:rsid w:val="00C745F2"/>
    <w:rsid w:val="00DA184A"/>
    <w:rsid w:val="00DF58DE"/>
    <w:rsid w:val="00E05589"/>
    <w:rsid w:val="00F202B7"/>
    <w:rsid w:val="00F21867"/>
    <w:rsid w:val="00FA3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3A"/>
    <w:rPr>
      <w:rFonts w:ascii="Times New Roman" w:eastAsia="Times New Roman" w:hAnsi="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5D243A"/>
    <w:rPr>
      <w:sz w:val="26"/>
      <w:shd w:val="clear" w:color="auto" w:fill="FFFFFF"/>
    </w:rPr>
  </w:style>
  <w:style w:type="paragraph" w:customStyle="1" w:styleId="20">
    <w:name w:val="Основной текст (2)"/>
    <w:basedOn w:val="a"/>
    <w:link w:val="2"/>
    <w:uiPriority w:val="99"/>
    <w:rsid w:val="005D243A"/>
    <w:pPr>
      <w:shd w:val="clear" w:color="auto" w:fill="FFFFFF"/>
      <w:spacing w:before="420" w:after="540" w:line="240" w:lineRule="atLeast"/>
    </w:pPr>
    <w:rPr>
      <w:rFonts w:ascii="Calibri" w:eastAsia="Calibri" w:hAnsi="Calibri"/>
      <w:sz w:val="26"/>
      <w:szCs w:val="26"/>
      <w:lang w:val="ru-RU" w:eastAsia="ru-RU"/>
    </w:rPr>
  </w:style>
  <w:style w:type="paragraph" w:styleId="a3">
    <w:name w:val="Balloon Text"/>
    <w:basedOn w:val="a"/>
    <w:link w:val="a4"/>
    <w:uiPriority w:val="99"/>
    <w:semiHidden/>
    <w:rsid w:val="00FA3110"/>
    <w:rPr>
      <w:rFonts w:ascii="Segoe UI" w:hAnsi="Segoe UI" w:cs="Segoe UI"/>
      <w:sz w:val="18"/>
      <w:szCs w:val="18"/>
    </w:rPr>
  </w:style>
  <w:style w:type="character" w:customStyle="1" w:styleId="a4">
    <w:name w:val="Текст у виносці Знак"/>
    <w:basedOn w:val="a0"/>
    <w:link w:val="a3"/>
    <w:uiPriority w:val="99"/>
    <w:semiHidden/>
    <w:locked/>
    <w:rsid w:val="00FA3110"/>
    <w:rPr>
      <w:rFonts w:ascii="Segoe UI" w:hAnsi="Segoe UI" w:cs="Segoe UI"/>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3A"/>
    <w:rPr>
      <w:rFonts w:ascii="Times New Roman" w:eastAsia="Times New Roman" w:hAnsi="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5D243A"/>
    <w:rPr>
      <w:sz w:val="26"/>
      <w:shd w:val="clear" w:color="auto" w:fill="FFFFFF"/>
    </w:rPr>
  </w:style>
  <w:style w:type="paragraph" w:customStyle="1" w:styleId="20">
    <w:name w:val="Основной текст (2)"/>
    <w:basedOn w:val="a"/>
    <w:link w:val="2"/>
    <w:uiPriority w:val="99"/>
    <w:rsid w:val="005D243A"/>
    <w:pPr>
      <w:shd w:val="clear" w:color="auto" w:fill="FFFFFF"/>
      <w:spacing w:before="420" w:after="540" w:line="240" w:lineRule="atLeast"/>
    </w:pPr>
    <w:rPr>
      <w:rFonts w:ascii="Calibri" w:eastAsia="Calibri" w:hAnsi="Calibri"/>
      <w:sz w:val="26"/>
      <w:szCs w:val="26"/>
      <w:lang w:val="ru-RU" w:eastAsia="ru-RU"/>
    </w:rPr>
  </w:style>
  <w:style w:type="paragraph" w:styleId="a3">
    <w:name w:val="Balloon Text"/>
    <w:basedOn w:val="a"/>
    <w:link w:val="a4"/>
    <w:uiPriority w:val="99"/>
    <w:semiHidden/>
    <w:rsid w:val="00FA3110"/>
    <w:rPr>
      <w:rFonts w:ascii="Segoe UI" w:hAnsi="Segoe UI" w:cs="Segoe UI"/>
      <w:sz w:val="18"/>
      <w:szCs w:val="18"/>
    </w:rPr>
  </w:style>
  <w:style w:type="character" w:customStyle="1" w:styleId="a4">
    <w:name w:val="Текст у виносці Знак"/>
    <w:basedOn w:val="a0"/>
    <w:link w:val="a3"/>
    <w:uiPriority w:val="99"/>
    <w:semiHidden/>
    <w:locked/>
    <w:rsid w:val="00FA3110"/>
    <w:rPr>
      <w:rFonts w:ascii="Segoe UI"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244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6327</Words>
  <Characters>3607</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Віка</dc:creator>
  <cp:lastModifiedBy>RR-user</cp:lastModifiedBy>
  <cp:revision>2</cp:revision>
  <cp:lastPrinted>2021-11-25T13:13:00Z</cp:lastPrinted>
  <dcterms:created xsi:type="dcterms:W3CDTF">2021-11-25T13:35:00Z</dcterms:created>
  <dcterms:modified xsi:type="dcterms:W3CDTF">2021-11-25T13:35:00Z</dcterms:modified>
</cp:coreProperties>
</file>