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36" w:rsidRDefault="00195B36" w:rsidP="0092254A">
      <w:pPr>
        <w:spacing w:after="0" w:line="240" w:lineRule="auto"/>
        <w:ind w:left="11160" w:right="141"/>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Додаток 1</w:t>
      </w:r>
    </w:p>
    <w:p w:rsidR="00195B36" w:rsidRDefault="00195B36" w:rsidP="0092254A">
      <w:pPr>
        <w:tabs>
          <w:tab w:val="left" w:pos="1080"/>
        </w:tabs>
        <w:spacing w:after="0" w:line="240" w:lineRule="auto"/>
        <w:ind w:left="11160" w:right="141"/>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до рішення сесії районної ради</w:t>
      </w:r>
    </w:p>
    <w:p w:rsidR="00195B36" w:rsidRPr="004E56C9" w:rsidRDefault="00195B36" w:rsidP="0092254A">
      <w:pPr>
        <w:tabs>
          <w:tab w:val="left" w:pos="1080"/>
        </w:tabs>
        <w:spacing w:after="0" w:line="240" w:lineRule="auto"/>
        <w:ind w:left="11160" w:right="141"/>
        <w:rPr>
          <w:rFonts w:ascii="Times New Roman" w:hAnsi="Times New Roman" w:cs="Times New Roman"/>
          <w:color w:val="000000"/>
          <w:kern w:val="36"/>
          <w:sz w:val="24"/>
          <w:szCs w:val="24"/>
          <w:lang w:val="uk-UA"/>
        </w:rPr>
      </w:pPr>
      <w:r>
        <w:rPr>
          <w:rFonts w:ascii="Times New Roman" w:hAnsi="Times New Roman" w:cs="Times New Roman"/>
          <w:color w:val="000000"/>
          <w:kern w:val="36"/>
          <w:sz w:val="24"/>
          <w:szCs w:val="24"/>
          <w:lang w:val="uk-UA"/>
        </w:rPr>
        <w:t>від «19»</w:t>
      </w:r>
      <w:r>
        <w:rPr>
          <w:rFonts w:ascii="Times New Roman" w:hAnsi="Times New Roman" w:cs="Times New Roman"/>
          <w:color w:val="000000"/>
          <w:kern w:val="36"/>
          <w:sz w:val="24"/>
          <w:szCs w:val="24"/>
        </w:rPr>
        <w:t xml:space="preserve"> </w:t>
      </w:r>
      <w:r>
        <w:rPr>
          <w:rFonts w:ascii="Times New Roman" w:hAnsi="Times New Roman" w:cs="Times New Roman"/>
          <w:color w:val="000000"/>
          <w:kern w:val="36"/>
          <w:sz w:val="24"/>
          <w:szCs w:val="24"/>
          <w:lang w:val="uk-UA"/>
        </w:rPr>
        <w:t xml:space="preserve">червня </w:t>
      </w:r>
      <w:r>
        <w:rPr>
          <w:rFonts w:ascii="Times New Roman" w:hAnsi="Times New Roman" w:cs="Times New Roman"/>
          <w:color w:val="000000"/>
          <w:kern w:val="36"/>
          <w:sz w:val="24"/>
          <w:szCs w:val="24"/>
        </w:rPr>
        <w:t>20</w:t>
      </w:r>
      <w:r>
        <w:rPr>
          <w:rFonts w:ascii="Times New Roman" w:hAnsi="Times New Roman" w:cs="Times New Roman"/>
          <w:color w:val="000000"/>
          <w:kern w:val="36"/>
          <w:sz w:val="24"/>
          <w:szCs w:val="24"/>
          <w:lang w:val="uk-UA"/>
        </w:rPr>
        <w:t>20 року</w:t>
      </w:r>
      <w:r>
        <w:rPr>
          <w:rFonts w:ascii="Times New Roman" w:hAnsi="Times New Roman" w:cs="Times New Roman"/>
          <w:color w:val="000000"/>
          <w:kern w:val="36"/>
          <w:sz w:val="24"/>
          <w:szCs w:val="24"/>
        </w:rPr>
        <w:t xml:space="preserve">  №</w:t>
      </w:r>
      <w:r>
        <w:rPr>
          <w:rFonts w:ascii="Times New Roman" w:hAnsi="Times New Roman" w:cs="Times New Roman"/>
          <w:color w:val="000000"/>
          <w:kern w:val="36"/>
          <w:sz w:val="24"/>
          <w:szCs w:val="24"/>
          <w:lang w:val="uk-UA"/>
        </w:rPr>
        <w:t>601</w:t>
      </w:r>
    </w:p>
    <w:p w:rsidR="00195B36" w:rsidRDefault="00195B36" w:rsidP="00646014">
      <w:pPr>
        <w:spacing w:after="0" w:line="240" w:lineRule="auto"/>
        <w:ind w:left="12240" w:right="141" w:firstLine="84"/>
        <w:rPr>
          <w:rFonts w:ascii="Times New Roman" w:hAnsi="Times New Roman" w:cs="Times New Roman"/>
          <w:color w:val="000000"/>
          <w:kern w:val="36"/>
          <w:sz w:val="24"/>
          <w:szCs w:val="24"/>
        </w:rPr>
      </w:pPr>
    </w:p>
    <w:p w:rsidR="00195B36" w:rsidRPr="00417D24" w:rsidRDefault="00195B36" w:rsidP="00646014">
      <w:pPr>
        <w:spacing w:after="0" w:line="240" w:lineRule="auto"/>
        <w:ind w:left="12240" w:right="141" w:firstLine="84"/>
        <w:rPr>
          <w:rFonts w:ascii="Times New Roman" w:hAnsi="Times New Roman" w:cs="Times New Roman"/>
          <w:color w:val="000000"/>
          <w:kern w:val="36"/>
          <w:sz w:val="24"/>
          <w:szCs w:val="24"/>
        </w:rPr>
      </w:pPr>
    </w:p>
    <w:p w:rsidR="00195B36" w:rsidRDefault="00195B36" w:rsidP="00E10FE8">
      <w:pPr>
        <w:spacing w:after="0" w:line="240" w:lineRule="auto"/>
        <w:jc w:val="center"/>
        <w:rPr>
          <w:rFonts w:ascii="Times New Roman" w:hAnsi="Times New Roman" w:cs="Times New Roman"/>
          <w:b/>
          <w:bCs/>
          <w:color w:val="000000"/>
          <w:kern w:val="36"/>
          <w:sz w:val="28"/>
          <w:szCs w:val="28"/>
          <w:lang w:val="uk-UA"/>
        </w:rPr>
      </w:pPr>
      <w:r w:rsidRPr="00E10FE8">
        <w:rPr>
          <w:rFonts w:ascii="Times New Roman" w:hAnsi="Times New Roman" w:cs="Times New Roman"/>
          <w:b/>
          <w:bCs/>
          <w:color w:val="000000"/>
          <w:kern w:val="36"/>
          <w:sz w:val="28"/>
          <w:szCs w:val="28"/>
          <w:lang w:val="uk-UA"/>
        </w:rPr>
        <w:t xml:space="preserve">ЗМІНИ </w:t>
      </w:r>
      <w:r>
        <w:rPr>
          <w:rFonts w:ascii="Times New Roman" w:hAnsi="Times New Roman" w:cs="Times New Roman"/>
          <w:b/>
          <w:bCs/>
          <w:color w:val="000000"/>
          <w:kern w:val="36"/>
          <w:sz w:val="28"/>
          <w:szCs w:val="28"/>
          <w:lang w:val="uk-UA"/>
        </w:rPr>
        <w:t>ДО ОБСЯГІВ ФІНАНСУВАННЯ</w:t>
      </w:r>
    </w:p>
    <w:p w:rsidR="00195B36" w:rsidRDefault="00195B36" w:rsidP="000E3117">
      <w:pPr>
        <w:spacing w:after="0" w:line="240" w:lineRule="auto"/>
        <w:jc w:val="center"/>
        <w:rPr>
          <w:rFonts w:ascii="Times New Roman" w:hAnsi="Times New Roman" w:cs="Times New Roman"/>
          <w:b/>
          <w:bCs/>
          <w:color w:val="000000"/>
          <w:kern w:val="36"/>
          <w:sz w:val="28"/>
          <w:szCs w:val="28"/>
          <w:lang w:val="uk-UA"/>
        </w:rPr>
      </w:pPr>
      <w:r w:rsidRPr="000E3117">
        <w:rPr>
          <w:rFonts w:ascii="Times New Roman" w:hAnsi="Times New Roman" w:cs="Times New Roman"/>
          <w:b/>
          <w:bCs/>
          <w:color w:val="000000"/>
          <w:kern w:val="36"/>
          <w:sz w:val="28"/>
          <w:szCs w:val="28"/>
          <w:lang w:val="uk-UA"/>
        </w:rPr>
        <w:t xml:space="preserve">на реалізацію заходів районної комплексної програми протидії злочинності, підтримання публічної безпеки і </w:t>
      </w:r>
    </w:p>
    <w:p w:rsidR="00195B36" w:rsidRPr="00E10FE8" w:rsidRDefault="00195B36" w:rsidP="000E3117">
      <w:pPr>
        <w:spacing w:after="0" w:line="240" w:lineRule="auto"/>
        <w:jc w:val="center"/>
        <w:rPr>
          <w:rFonts w:ascii="Times New Roman" w:hAnsi="Times New Roman" w:cs="Times New Roman"/>
          <w:b/>
          <w:bCs/>
          <w:color w:val="000000"/>
          <w:kern w:val="36"/>
          <w:sz w:val="28"/>
          <w:szCs w:val="28"/>
          <w:lang w:val="uk-UA"/>
        </w:rPr>
      </w:pPr>
      <w:r w:rsidRPr="000E3117">
        <w:rPr>
          <w:rFonts w:ascii="Times New Roman" w:hAnsi="Times New Roman" w:cs="Times New Roman"/>
          <w:b/>
          <w:bCs/>
          <w:color w:val="000000"/>
          <w:kern w:val="36"/>
          <w:sz w:val="28"/>
          <w:szCs w:val="28"/>
          <w:lang w:val="uk-UA"/>
        </w:rPr>
        <w:t>порядку на 2016-2020 роки</w:t>
      </w:r>
    </w:p>
    <w:tbl>
      <w:tblPr>
        <w:tblW w:w="152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5760"/>
        <w:gridCol w:w="900"/>
        <w:gridCol w:w="810"/>
        <w:gridCol w:w="990"/>
        <w:gridCol w:w="990"/>
        <w:gridCol w:w="1350"/>
        <w:gridCol w:w="2628"/>
      </w:tblGrid>
      <w:tr w:rsidR="00195B36">
        <w:trPr>
          <w:cantSplit/>
        </w:trPr>
        <w:tc>
          <w:tcPr>
            <w:tcW w:w="1800" w:type="dxa"/>
            <w:vMerge w:val="restart"/>
          </w:tcPr>
          <w:p w:rsidR="00195B36" w:rsidRPr="0092254A" w:rsidRDefault="00195B36"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Завдання програми</w:t>
            </w:r>
          </w:p>
        </w:tc>
        <w:tc>
          <w:tcPr>
            <w:tcW w:w="5760" w:type="dxa"/>
            <w:vMerge w:val="restart"/>
          </w:tcPr>
          <w:p w:rsidR="00195B36" w:rsidRPr="0092254A" w:rsidRDefault="00195B36"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Зміст заходу</w:t>
            </w:r>
          </w:p>
        </w:tc>
        <w:tc>
          <w:tcPr>
            <w:tcW w:w="5040" w:type="dxa"/>
            <w:gridSpan w:val="5"/>
          </w:tcPr>
          <w:p w:rsidR="00195B36" w:rsidRPr="0092254A" w:rsidRDefault="00195B36"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Фінансове забезпечення (тис. грн..)</w:t>
            </w:r>
          </w:p>
        </w:tc>
        <w:tc>
          <w:tcPr>
            <w:tcW w:w="2628" w:type="dxa"/>
            <w:vMerge w:val="restart"/>
          </w:tcPr>
          <w:p w:rsidR="00195B36" w:rsidRPr="0092254A" w:rsidRDefault="00195B36"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Відповідальні за реалізацію</w:t>
            </w:r>
          </w:p>
          <w:p w:rsidR="00195B36" w:rsidRPr="0092254A" w:rsidRDefault="00195B36"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заходу</w:t>
            </w:r>
          </w:p>
        </w:tc>
      </w:tr>
      <w:tr w:rsidR="00195B36">
        <w:trPr>
          <w:cantSplit/>
        </w:trPr>
        <w:tc>
          <w:tcPr>
            <w:tcW w:w="1800" w:type="dxa"/>
            <w:vMerge/>
          </w:tcPr>
          <w:p w:rsidR="00195B36" w:rsidRPr="0092254A" w:rsidRDefault="00195B36" w:rsidP="00827E25">
            <w:pPr>
              <w:rPr>
                <w:rFonts w:ascii="Times New Roman" w:hAnsi="Times New Roman" w:cs="Times New Roman"/>
                <w:sz w:val="16"/>
                <w:szCs w:val="16"/>
              </w:rPr>
            </w:pPr>
          </w:p>
        </w:tc>
        <w:tc>
          <w:tcPr>
            <w:tcW w:w="5760" w:type="dxa"/>
            <w:vMerge/>
          </w:tcPr>
          <w:p w:rsidR="00195B36" w:rsidRPr="0092254A" w:rsidRDefault="00195B36" w:rsidP="00827E25">
            <w:pPr>
              <w:rPr>
                <w:rFonts w:ascii="Times New Roman" w:hAnsi="Times New Roman" w:cs="Times New Roman"/>
                <w:sz w:val="16"/>
                <w:szCs w:val="16"/>
              </w:rPr>
            </w:pPr>
          </w:p>
        </w:tc>
        <w:tc>
          <w:tcPr>
            <w:tcW w:w="900" w:type="dxa"/>
            <w:vMerge w:val="restart"/>
          </w:tcPr>
          <w:p w:rsidR="00195B36" w:rsidRPr="0092254A" w:rsidRDefault="00195B36"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Всього</w:t>
            </w:r>
          </w:p>
        </w:tc>
        <w:tc>
          <w:tcPr>
            <w:tcW w:w="4140" w:type="dxa"/>
            <w:gridSpan w:val="4"/>
          </w:tcPr>
          <w:p w:rsidR="00195B36" w:rsidRPr="0092254A" w:rsidRDefault="00195B36"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у тому числі за рахунок</w:t>
            </w:r>
          </w:p>
        </w:tc>
        <w:tc>
          <w:tcPr>
            <w:tcW w:w="2628" w:type="dxa"/>
            <w:vMerge/>
          </w:tcPr>
          <w:p w:rsidR="00195B36" w:rsidRPr="0092254A" w:rsidRDefault="00195B36" w:rsidP="00827E25">
            <w:pPr>
              <w:rPr>
                <w:rFonts w:ascii="Times New Roman" w:hAnsi="Times New Roman" w:cs="Times New Roman"/>
                <w:sz w:val="16"/>
                <w:szCs w:val="16"/>
              </w:rPr>
            </w:pPr>
          </w:p>
        </w:tc>
      </w:tr>
      <w:tr w:rsidR="00195B36">
        <w:trPr>
          <w:cantSplit/>
        </w:trPr>
        <w:tc>
          <w:tcPr>
            <w:tcW w:w="1800" w:type="dxa"/>
            <w:vMerge/>
          </w:tcPr>
          <w:p w:rsidR="00195B36" w:rsidRPr="0092254A" w:rsidRDefault="00195B36" w:rsidP="00827E25">
            <w:pPr>
              <w:rPr>
                <w:rFonts w:ascii="Times New Roman" w:hAnsi="Times New Roman" w:cs="Times New Roman"/>
                <w:sz w:val="16"/>
                <w:szCs w:val="16"/>
              </w:rPr>
            </w:pPr>
          </w:p>
        </w:tc>
        <w:tc>
          <w:tcPr>
            <w:tcW w:w="5760" w:type="dxa"/>
            <w:vMerge/>
          </w:tcPr>
          <w:p w:rsidR="00195B36" w:rsidRPr="0092254A" w:rsidRDefault="00195B36" w:rsidP="00827E25">
            <w:pPr>
              <w:rPr>
                <w:rFonts w:ascii="Times New Roman" w:hAnsi="Times New Roman" w:cs="Times New Roman"/>
                <w:sz w:val="16"/>
                <w:szCs w:val="16"/>
              </w:rPr>
            </w:pPr>
          </w:p>
        </w:tc>
        <w:tc>
          <w:tcPr>
            <w:tcW w:w="900" w:type="dxa"/>
            <w:vMerge/>
          </w:tcPr>
          <w:p w:rsidR="00195B36" w:rsidRPr="0092254A" w:rsidRDefault="00195B36" w:rsidP="00827E25">
            <w:pPr>
              <w:rPr>
                <w:rFonts w:ascii="Times New Roman" w:hAnsi="Times New Roman" w:cs="Times New Roman"/>
                <w:sz w:val="16"/>
                <w:szCs w:val="16"/>
              </w:rPr>
            </w:pPr>
          </w:p>
        </w:tc>
        <w:tc>
          <w:tcPr>
            <w:tcW w:w="810" w:type="dxa"/>
          </w:tcPr>
          <w:p w:rsidR="00195B36" w:rsidRPr="0092254A" w:rsidRDefault="00195B36"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Держ-бюджет</w:t>
            </w:r>
          </w:p>
        </w:tc>
        <w:tc>
          <w:tcPr>
            <w:tcW w:w="990" w:type="dxa"/>
          </w:tcPr>
          <w:p w:rsidR="00195B36" w:rsidRPr="0092254A" w:rsidRDefault="00195B36"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Обл.</w:t>
            </w:r>
          </w:p>
          <w:p w:rsidR="00195B36" w:rsidRPr="0092254A" w:rsidRDefault="00195B36"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бюджет</w:t>
            </w:r>
          </w:p>
        </w:tc>
        <w:tc>
          <w:tcPr>
            <w:tcW w:w="990" w:type="dxa"/>
          </w:tcPr>
          <w:p w:rsidR="00195B36" w:rsidRPr="0092254A" w:rsidRDefault="00195B36"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Місцев.</w:t>
            </w:r>
          </w:p>
          <w:p w:rsidR="00195B36" w:rsidRPr="0092254A" w:rsidRDefault="00195B36"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бюджет</w:t>
            </w:r>
          </w:p>
        </w:tc>
        <w:tc>
          <w:tcPr>
            <w:tcW w:w="1350" w:type="dxa"/>
          </w:tcPr>
          <w:p w:rsidR="00195B36" w:rsidRPr="0092254A" w:rsidRDefault="00195B36"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Інші</w:t>
            </w:r>
          </w:p>
          <w:p w:rsidR="00195B36" w:rsidRPr="0092254A" w:rsidRDefault="00195B36"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джерела</w:t>
            </w:r>
          </w:p>
        </w:tc>
        <w:tc>
          <w:tcPr>
            <w:tcW w:w="2628" w:type="dxa"/>
            <w:vMerge/>
          </w:tcPr>
          <w:p w:rsidR="00195B36" w:rsidRPr="0092254A" w:rsidRDefault="00195B36" w:rsidP="00827E25">
            <w:pPr>
              <w:rPr>
                <w:rFonts w:ascii="Times New Roman" w:hAnsi="Times New Roman" w:cs="Times New Roman"/>
                <w:sz w:val="16"/>
                <w:szCs w:val="16"/>
              </w:rPr>
            </w:pPr>
          </w:p>
        </w:tc>
      </w:tr>
      <w:tr w:rsidR="00195B36">
        <w:tc>
          <w:tcPr>
            <w:tcW w:w="1800" w:type="dxa"/>
          </w:tcPr>
          <w:p w:rsidR="00195B36" w:rsidRPr="0092254A" w:rsidRDefault="00195B36" w:rsidP="00827E25">
            <w:pPr>
              <w:jc w:val="center"/>
              <w:rPr>
                <w:rFonts w:ascii="Times New Roman" w:hAnsi="Times New Roman" w:cs="Times New Roman"/>
                <w:lang w:val="uk-UA"/>
              </w:rPr>
            </w:pPr>
            <w:r w:rsidRPr="0092254A">
              <w:rPr>
                <w:rFonts w:ascii="Times New Roman" w:hAnsi="Times New Roman" w:cs="Times New Roman"/>
                <w:lang w:val="uk-UA"/>
              </w:rPr>
              <w:t>1</w:t>
            </w:r>
          </w:p>
        </w:tc>
        <w:tc>
          <w:tcPr>
            <w:tcW w:w="5760" w:type="dxa"/>
          </w:tcPr>
          <w:p w:rsidR="00195B36" w:rsidRPr="0092254A" w:rsidRDefault="00195B36" w:rsidP="00827E25">
            <w:pPr>
              <w:jc w:val="center"/>
              <w:rPr>
                <w:rFonts w:ascii="Times New Roman" w:hAnsi="Times New Roman" w:cs="Times New Roman"/>
                <w:lang w:val="uk-UA"/>
              </w:rPr>
            </w:pPr>
            <w:r w:rsidRPr="0092254A">
              <w:rPr>
                <w:rFonts w:ascii="Times New Roman" w:hAnsi="Times New Roman" w:cs="Times New Roman"/>
                <w:lang w:val="uk-UA"/>
              </w:rPr>
              <w:t>2</w:t>
            </w:r>
          </w:p>
        </w:tc>
        <w:tc>
          <w:tcPr>
            <w:tcW w:w="900" w:type="dxa"/>
          </w:tcPr>
          <w:p w:rsidR="00195B36" w:rsidRPr="0092254A" w:rsidRDefault="00195B36" w:rsidP="00827E25">
            <w:pPr>
              <w:jc w:val="center"/>
              <w:rPr>
                <w:rFonts w:ascii="Times New Roman" w:hAnsi="Times New Roman" w:cs="Times New Roman"/>
                <w:lang w:val="uk-UA"/>
              </w:rPr>
            </w:pPr>
            <w:r w:rsidRPr="0092254A">
              <w:rPr>
                <w:rFonts w:ascii="Times New Roman" w:hAnsi="Times New Roman" w:cs="Times New Roman"/>
                <w:lang w:val="uk-UA"/>
              </w:rPr>
              <w:t>3</w:t>
            </w:r>
          </w:p>
        </w:tc>
        <w:tc>
          <w:tcPr>
            <w:tcW w:w="810" w:type="dxa"/>
          </w:tcPr>
          <w:p w:rsidR="00195B36" w:rsidRPr="0092254A" w:rsidRDefault="00195B36" w:rsidP="00827E25">
            <w:pPr>
              <w:jc w:val="center"/>
              <w:rPr>
                <w:rFonts w:ascii="Times New Roman" w:hAnsi="Times New Roman" w:cs="Times New Roman"/>
                <w:lang w:val="uk-UA"/>
              </w:rPr>
            </w:pPr>
            <w:r w:rsidRPr="0092254A">
              <w:rPr>
                <w:rFonts w:ascii="Times New Roman" w:hAnsi="Times New Roman" w:cs="Times New Roman"/>
                <w:lang w:val="uk-UA"/>
              </w:rPr>
              <w:t>4</w:t>
            </w:r>
          </w:p>
        </w:tc>
        <w:tc>
          <w:tcPr>
            <w:tcW w:w="990" w:type="dxa"/>
          </w:tcPr>
          <w:p w:rsidR="00195B36" w:rsidRPr="0092254A" w:rsidRDefault="00195B36" w:rsidP="00827E25">
            <w:pPr>
              <w:jc w:val="center"/>
              <w:rPr>
                <w:rFonts w:ascii="Times New Roman" w:hAnsi="Times New Roman" w:cs="Times New Roman"/>
                <w:lang w:val="uk-UA"/>
              </w:rPr>
            </w:pPr>
            <w:r w:rsidRPr="0092254A">
              <w:rPr>
                <w:rFonts w:ascii="Times New Roman" w:hAnsi="Times New Roman" w:cs="Times New Roman"/>
                <w:lang w:val="uk-UA"/>
              </w:rPr>
              <w:t>5</w:t>
            </w:r>
          </w:p>
        </w:tc>
        <w:tc>
          <w:tcPr>
            <w:tcW w:w="990" w:type="dxa"/>
          </w:tcPr>
          <w:p w:rsidR="00195B36" w:rsidRPr="0092254A" w:rsidRDefault="00195B36" w:rsidP="00827E25">
            <w:pPr>
              <w:jc w:val="center"/>
              <w:rPr>
                <w:rFonts w:ascii="Times New Roman" w:hAnsi="Times New Roman" w:cs="Times New Roman"/>
                <w:lang w:val="uk-UA"/>
              </w:rPr>
            </w:pPr>
            <w:r w:rsidRPr="0092254A">
              <w:rPr>
                <w:rFonts w:ascii="Times New Roman" w:hAnsi="Times New Roman" w:cs="Times New Roman"/>
                <w:lang w:val="uk-UA"/>
              </w:rPr>
              <w:t>6</w:t>
            </w:r>
          </w:p>
        </w:tc>
        <w:tc>
          <w:tcPr>
            <w:tcW w:w="1350" w:type="dxa"/>
          </w:tcPr>
          <w:p w:rsidR="00195B36" w:rsidRPr="0092254A" w:rsidRDefault="00195B36" w:rsidP="00827E25">
            <w:pPr>
              <w:jc w:val="center"/>
              <w:rPr>
                <w:rFonts w:ascii="Times New Roman" w:hAnsi="Times New Roman" w:cs="Times New Roman"/>
                <w:lang w:val="uk-UA"/>
              </w:rPr>
            </w:pPr>
            <w:r w:rsidRPr="0092254A">
              <w:rPr>
                <w:rFonts w:ascii="Times New Roman" w:hAnsi="Times New Roman" w:cs="Times New Roman"/>
                <w:lang w:val="uk-UA"/>
              </w:rPr>
              <w:t>7</w:t>
            </w:r>
          </w:p>
        </w:tc>
        <w:tc>
          <w:tcPr>
            <w:tcW w:w="2628" w:type="dxa"/>
          </w:tcPr>
          <w:p w:rsidR="00195B36" w:rsidRPr="0092254A" w:rsidRDefault="00195B36" w:rsidP="00827E25">
            <w:pPr>
              <w:jc w:val="center"/>
              <w:rPr>
                <w:rFonts w:ascii="Times New Roman" w:hAnsi="Times New Roman" w:cs="Times New Roman"/>
                <w:lang w:val="uk-UA"/>
              </w:rPr>
            </w:pPr>
            <w:r w:rsidRPr="0092254A">
              <w:rPr>
                <w:rFonts w:ascii="Times New Roman" w:hAnsi="Times New Roman" w:cs="Times New Roman"/>
                <w:lang w:val="uk-UA"/>
              </w:rPr>
              <w:t>8</w:t>
            </w:r>
          </w:p>
        </w:tc>
      </w:tr>
      <w:tr w:rsidR="00195B36" w:rsidRPr="00AF0A20">
        <w:tc>
          <w:tcPr>
            <w:tcW w:w="1800" w:type="dxa"/>
          </w:tcPr>
          <w:p w:rsidR="00195B36" w:rsidRPr="000E4D80" w:rsidRDefault="00195B36" w:rsidP="00827E25">
            <w:pPr>
              <w:jc w:val="center"/>
              <w:rPr>
                <w:rFonts w:ascii="Times New Roman" w:hAnsi="Times New Roman" w:cs="Times New Roman"/>
                <w:b/>
                <w:sz w:val="20"/>
                <w:szCs w:val="20"/>
                <w:u w:val="single"/>
                <w:lang w:val="uk-UA"/>
              </w:rPr>
            </w:pPr>
            <w:r w:rsidRPr="000E4D80">
              <w:rPr>
                <w:rFonts w:ascii="Times New Roman" w:hAnsi="Times New Roman" w:cs="Times New Roman"/>
                <w:b/>
                <w:sz w:val="20"/>
                <w:szCs w:val="20"/>
                <w:u w:val="single"/>
                <w:lang w:val="uk-UA"/>
              </w:rPr>
              <w:t>Охорона конституційних прав громадян, захист життя, здоров’я, честі і гідності людини та її майна від злочинних посягань</w:t>
            </w:r>
          </w:p>
        </w:tc>
        <w:tc>
          <w:tcPr>
            <w:tcW w:w="5760" w:type="dxa"/>
          </w:tcPr>
          <w:p w:rsidR="00195B36" w:rsidRPr="003F47C2" w:rsidRDefault="00195B36" w:rsidP="003F47C2">
            <w:pPr>
              <w:jc w:val="both"/>
              <w:rPr>
                <w:rFonts w:ascii="Times New Roman" w:hAnsi="Times New Roman" w:cs="Times New Roman"/>
                <w:sz w:val="20"/>
                <w:szCs w:val="20"/>
                <w:lang w:val="uk-UA"/>
              </w:rPr>
            </w:pPr>
            <w:r w:rsidRPr="003F47C2">
              <w:rPr>
                <w:rFonts w:ascii="Times New Roman" w:hAnsi="Times New Roman" w:cs="Times New Roman"/>
                <w:sz w:val="20"/>
                <w:szCs w:val="20"/>
                <w:lang w:val="uk-UA"/>
              </w:rPr>
              <w:t>3. З метою поліпшення ефективності профілактичної роботи поліції передбачити виділення коштів, у т.ч. за рахунок місцевих бюджетів</w:t>
            </w:r>
            <w:r>
              <w:rPr>
                <w:rFonts w:ascii="Times New Roman" w:hAnsi="Times New Roman" w:cs="Times New Roman"/>
                <w:sz w:val="20"/>
                <w:szCs w:val="20"/>
                <w:lang w:val="uk-UA"/>
              </w:rPr>
              <w:t>,</w:t>
            </w:r>
            <w:r w:rsidRPr="003F47C2">
              <w:rPr>
                <w:rFonts w:ascii="Times New Roman" w:hAnsi="Times New Roman" w:cs="Times New Roman"/>
                <w:sz w:val="20"/>
                <w:szCs w:val="20"/>
                <w:lang w:val="uk-UA"/>
              </w:rPr>
              <w:t xml:space="preserve"> згідно з вимогами чинного законодавства для розвитку опорних пунктів відділень в населених пунктах району, забезпечення відділення поліції відповідним обладнанням, у т.ч. оргтехнікою, камерами відеоспостереження, а також придбання засобів індивідуального захисту</w:t>
            </w:r>
          </w:p>
        </w:tc>
        <w:tc>
          <w:tcPr>
            <w:tcW w:w="900" w:type="dxa"/>
          </w:tcPr>
          <w:p w:rsidR="00195B36" w:rsidRPr="0092254A" w:rsidRDefault="00195B36" w:rsidP="00827E25">
            <w:pPr>
              <w:jc w:val="center"/>
              <w:rPr>
                <w:rFonts w:ascii="Times New Roman" w:hAnsi="Times New Roman" w:cs="Times New Roman"/>
                <w:lang w:val="uk-UA"/>
              </w:rPr>
            </w:pPr>
            <w:r>
              <w:rPr>
                <w:rFonts w:ascii="Times New Roman" w:hAnsi="Times New Roman" w:cs="Times New Roman"/>
                <w:lang w:val="uk-UA"/>
              </w:rPr>
              <w:t>600</w:t>
            </w:r>
          </w:p>
        </w:tc>
        <w:tc>
          <w:tcPr>
            <w:tcW w:w="810" w:type="dxa"/>
          </w:tcPr>
          <w:p w:rsidR="00195B36" w:rsidRPr="0092254A" w:rsidRDefault="00195B36" w:rsidP="00827E25">
            <w:pPr>
              <w:jc w:val="center"/>
              <w:rPr>
                <w:rFonts w:ascii="Times New Roman" w:hAnsi="Times New Roman" w:cs="Times New Roman"/>
                <w:lang w:val="uk-UA"/>
              </w:rPr>
            </w:pPr>
          </w:p>
        </w:tc>
        <w:tc>
          <w:tcPr>
            <w:tcW w:w="990" w:type="dxa"/>
          </w:tcPr>
          <w:p w:rsidR="00195B36" w:rsidRPr="0092254A" w:rsidRDefault="00195B36" w:rsidP="00827E25">
            <w:pPr>
              <w:jc w:val="center"/>
              <w:rPr>
                <w:rFonts w:ascii="Times New Roman" w:hAnsi="Times New Roman" w:cs="Times New Roman"/>
                <w:lang w:val="uk-UA"/>
              </w:rPr>
            </w:pPr>
          </w:p>
        </w:tc>
        <w:tc>
          <w:tcPr>
            <w:tcW w:w="990" w:type="dxa"/>
          </w:tcPr>
          <w:p w:rsidR="00195B36" w:rsidRPr="0092254A" w:rsidRDefault="00195B36" w:rsidP="00827E25">
            <w:pPr>
              <w:jc w:val="center"/>
              <w:rPr>
                <w:rFonts w:ascii="Times New Roman" w:hAnsi="Times New Roman" w:cs="Times New Roman"/>
                <w:lang w:val="uk-UA"/>
              </w:rPr>
            </w:pPr>
            <w:r>
              <w:rPr>
                <w:rFonts w:ascii="Times New Roman" w:hAnsi="Times New Roman" w:cs="Times New Roman"/>
                <w:lang w:val="uk-UA"/>
              </w:rPr>
              <w:t>600</w:t>
            </w:r>
          </w:p>
        </w:tc>
        <w:tc>
          <w:tcPr>
            <w:tcW w:w="1350" w:type="dxa"/>
          </w:tcPr>
          <w:p w:rsidR="00195B36" w:rsidRPr="0092254A" w:rsidRDefault="00195B36" w:rsidP="00827E25">
            <w:pPr>
              <w:jc w:val="center"/>
              <w:rPr>
                <w:rFonts w:ascii="Times New Roman" w:hAnsi="Times New Roman" w:cs="Times New Roman"/>
                <w:lang w:val="uk-UA"/>
              </w:rPr>
            </w:pPr>
          </w:p>
        </w:tc>
        <w:tc>
          <w:tcPr>
            <w:tcW w:w="2628" w:type="dxa"/>
          </w:tcPr>
          <w:p w:rsidR="00195B36" w:rsidRPr="0092254A" w:rsidRDefault="00195B36" w:rsidP="003F47C2">
            <w:pPr>
              <w:jc w:val="both"/>
              <w:rPr>
                <w:rFonts w:ascii="Times New Roman" w:hAnsi="Times New Roman" w:cs="Times New Roman"/>
                <w:lang w:val="uk-UA"/>
              </w:rPr>
            </w:pPr>
            <w:r w:rsidRPr="0092254A">
              <w:rPr>
                <w:rFonts w:ascii="Times New Roman" w:hAnsi="Times New Roman" w:cs="Times New Roman"/>
                <w:snapToGrid w:val="0"/>
                <w:sz w:val="20"/>
                <w:szCs w:val="20"/>
                <w:lang w:val="uk-UA"/>
              </w:rPr>
              <w:t>Фінансове управління райдержадміністрації,</w:t>
            </w:r>
            <w:r>
              <w:rPr>
                <w:rFonts w:ascii="Times New Roman" w:hAnsi="Times New Roman" w:cs="Times New Roman"/>
                <w:snapToGrid w:val="0"/>
                <w:sz w:val="20"/>
                <w:szCs w:val="20"/>
                <w:lang w:val="uk-UA"/>
              </w:rPr>
              <w:t xml:space="preserve"> сільські ради, Кропивницьке РВП КВП ГУНП в Кіровоградській області</w:t>
            </w:r>
          </w:p>
        </w:tc>
      </w:tr>
      <w:tr w:rsidR="00195B36">
        <w:trPr>
          <w:cantSplit/>
          <w:trHeight w:val="2777"/>
        </w:trPr>
        <w:tc>
          <w:tcPr>
            <w:tcW w:w="1800" w:type="dxa"/>
          </w:tcPr>
          <w:p w:rsidR="00195B36" w:rsidRPr="000E3117" w:rsidRDefault="00195B36" w:rsidP="00827E25">
            <w:pPr>
              <w:ind w:left="-108" w:right="-108"/>
              <w:jc w:val="center"/>
              <w:rPr>
                <w:rFonts w:ascii="Times New Roman" w:hAnsi="Times New Roman" w:cs="Times New Roman"/>
                <w:b/>
                <w:bCs/>
                <w:color w:val="000000"/>
                <w:spacing w:val="7"/>
                <w:sz w:val="20"/>
                <w:szCs w:val="20"/>
                <w:u w:val="single"/>
                <w:lang w:val="uk-UA"/>
              </w:rPr>
            </w:pPr>
            <w:r w:rsidRPr="0092254A">
              <w:rPr>
                <w:rFonts w:ascii="Times New Roman" w:hAnsi="Times New Roman" w:cs="Times New Roman"/>
                <w:b/>
                <w:bCs/>
                <w:color w:val="000000"/>
                <w:spacing w:val="7"/>
                <w:sz w:val="20"/>
                <w:szCs w:val="20"/>
                <w:u w:val="single"/>
                <w:lang w:val="uk-UA"/>
              </w:rPr>
              <w:t>Заходи щодо поліпшення матеріально-технічного оснащення</w:t>
            </w:r>
            <w:r>
              <w:rPr>
                <w:rFonts w:ascii="Times New Roman" w:hAnsi="Times New Roman" w:cs="Times New Roman"/>
                <w:b/>
                <w:bCs/>
                <w:color w:val="000000"/>
                <w:spacing w:val="7"/>
                <w:sz w:val="20"/>
                <w:szCs w:val="20"/>
                <w:u w:val="single"/>
                <w:lang w:val="uk-UA"/>
              </w:rPr>
              <w:t xml:space="preserve"> </w:t>
            </w:r>
            <w:r w:rsidRPr="0092254A">
              <w:rPr>
                <w:rFonts w:ascii="Times New Roman" w:hAnsi="Times New Roman" w:cs="Times New Roman"/>
                <w:b/>
                <w:bCs/>
                <w:color w:val="000000"/>
                <w:spacing w:val="7"/>
                <w:sz w:val="20"/>
                <w:szCs w:val="20"/>
                <w:u w:val="single"/>
                <w:lang w:val="uk-UA"/>
              </w:rPr>
              <w:t>відділення поліції</w:t>
            </w:r>
          </w:p>
          <w:p w:rsidR="00195B36" w:rsidRPr="0092254A" w:rsidRDefault="00195B36" w:rsidP="00827E25">
            <w:pPr>
              <w:rPr>
                <w:rFonts w:ascii="Times New Roman" w:hAnsi="Times New Roman" w:cs="Times New Roman"/>
                <w:sz w:val="20"/>
                <w:szCs w:val="20"/>
                <w:lang w:val="uk-UA"/>
              </w:rPr>
            </w:pPr>
          </w:p>
        </w:tc>
        <w:tc>
          <w:tcPr>
            <w:tcW w:w="5760" w:type="dxa"/>
          </w:tcPr>
          <w:p w:rsidR="00195B36" w:rsidRPr="0092254A" w:rsidRDefault="00195B36" w:rsidP="003F47C2">
            <w:pPr>
              <w:jc w:val="both"/>
              <w:rPr>
                <w:rFonts w:ascii="Times New Roman" w:hAnsi="Times New Roman" w:cs="Times New Roman"/>
                <w:color w:val="000000"/>
                <w:spacing w:val="1"/>
                <w:sz w:val="20"/>
                <w:szCs w:val="20"/>
                <w:lang w:val="uk-UA"/>
              </w:rPr>
            </w:pPr>
            <w:r w:rsidRPr="0092254A">
              <w:rPr>
                <w:rFonts w:ascii="Times New Roman" w:hAnsi="Times New Roman" w:cs="Times New Roman"/>
                <w:color w:val="000000"/>
                <w:sz w:val="20"/>
                <w:szCs w:val="20"/>
                <w:lang w:val="uk-UA"/>
              </w:rPr>
              <w:t xml:space="preserve">27. </w:t>
            </w:r>
            <w:r w:rsidRPr="0092254A">
              <w:rPr>
                <w:rFonts w:ascii="Times New Roman" w:hAnsi="Times New Roman" w:cs="Times New Roman"/>
                <w:spacing w:val="7"/>
                <w:sz w:val="20"/>
                <w:szCs w:val="20"/>
                <w:lang w:val="uk-UA"/>
              </w:rPr>
              <w:t>З метою поліпшення ефективності роботи,</w:t>
            </w:r>
            <w:r>
              <w:rPr>
                <w:rFonts w:ascii="Times New Roman" w:hAnsi="Times New Roman" w:cs="Times New Roman"/>
                <w:spacing w:val="7"/>
                <w:sz w:val="20"/>
                <w:szCs w:val="20"/>
                <w:lang w:val="uk-UA"/>
              </w:rPr>
              <w:t xml:space="preserve"> </w:t>
            </w:r>
            <w:r w:rsidRPr="0092254A">
              <w:rPr>
                <w:rFonts w:ascii="Times New Roman" w:hAnsi="Times New Roman" w:cs="Times New Roman"/>
                <w:spacing w:val="7"/>
                <w:sz w:val="20"/>
                <w:szCs w:val="20"/>
                <w:lang w:val="uk-UA"/>
              </w:rPr>
              <w:t>створення належних умов праці районного відділу</w:t>
            </w:r>
            <w:r w:rsidRPr="0092254A">
              <w:rPr>
                <w:rFonts w:ascii="Times New Roman" w:hAnsi="Times New Roman" w:cs="Times New Roman"/>
                <w:sz w:val="20"/>
                <w:szCs w:val="20"/>
                <w:lang w:val="uk-UA"/>
              </w:rPr>
              <w:t xml:space="preserve"> поліції, передбачити виділення коштів, у т.ч. за рахунок місцевих </w:t>
            </w:r>
            <w:r w:rsidRPr="0092254A">
              <w:rPr>
                <w:rFonts w:ascii="Times New Roman" w:hAnsi="Times New Roman" w:cs="Times New Roman"/>
                <w:spacing w:val="-1"/>
                <w:sz w:val="20"/>
                <w:szCs w:val="20"/>
                <w:lang w:val="uk-UA"/>
              </w:rPr>
              <w:t>бюджетів згідно з вимогами чинного законодавства проведення заходів, націлених на енергозбереження (внутрішнє та зовнішнє утеплення приміщень, заміна вікон), для придбання запасних частин та забезпечення належного технічного стану службових транспортних засобів, які здійснюють обслуговування території Кро</w:t>
            </w:r>
            <w:r>
              <w:rPr>
                <w:rFonts w:ascii="Times New Roman" w:hAnsi="Times New Roman" w:cs="Times New Roman"/>
                <w:spacing w:val="-1"/>
                <w:sz w:val="20"/>
                <w:szCs w:val="20"/>
                <w:lang w:val="uk-UA"/>
              </w:rPr>
              <w:t>пивниць</w:t>
            </w:r>
            <w:r w:rsidRPr="0092254A">
              <w:rPr>
                <w:rFonts w:ascii="Times New Roman" w:hAnsi="Times New Roman" w:cs="Times New Roman"/>
                <w:spacing w:val="-1"/>
                <w:sz w:val="20"/>
                <w:szCs w:val="20"/>
                <w:lang w:val="uk-UA"/>
              </w:rPr>
              <w:t xml:space="preserve">кого району, придбання паливно-мастильних матеріалів. </w:t>
            </w:r>
          </w:p>
        </w:tc>
        <w:tc>
          <w:tcPr>
            <w:tcW w:w="900" w:type="dxa"/>
          </w:tcPr>
          <w:p w:rsidR="00195B36" w:rsidRPr="000E3117" w:rsidRDefault="00195B36" w:rsidP="00B53FFA">
            <w:pPr>
              <w:rPr>
                <w:rFonts w:ascii="Times New Roman" w:hAnsi="Times New Roman" w:cs="Times New Roman"/>
                <w:sz w:val="20"/>
                <w:szCs w:val="20"/>
                <w:lang w:val="uk-UA"/>
              </w:rPr>
            </w:pPr>
            <w:r>
              <w:rPr>
                <w:rFonts w:ascii="Times New Roman" w:hAnsi="Times New Roman" w:cs="Times New Roman"/>
                <w:sz w:val="20"/>
                <w:szCs w:val="20"/>
                <w:lang w:val="uk-UA"/>
              </w:rPr>
              <w:t xml:space="preserve"> 6</w:t>
            </w:r>
            <w:r w:rsidRPr="000E3117">
              <w:rPr>
                <w:rFonts w:ascii="Times New Roman" w:hAnsi="Times New Roman" w:cs="Times New Roman"/>
                <w:sz w:val="20"/>
                <w:szCs w:val="20"/>
                <w:lang w:val="uk-UA"/>
              </w:rPr>
              <w:t>00,0</w:t>
            </w:r>
          </w:p>
        </w:tc>
        <w:tc>
          <w:tcPr>
            <w:tcW w:w="810" w:type="dxa"/>
          </w:tcPr>
          <w:p w:rsidR="00195B36" w:rsidRPr="000E3117" w:rsidRDefault="00195B36" w:rsidP="00827E25">
            <w:pPr>
              <w:rPr>
                <w:rFonts w:ascii="Times New Roman" w:hAnsi="Times New Roman" w:cs="Times New Roman"/>
                <w:sz w:val="20"/>
                <w:szCs w:val="20"/>
                <w:lang w:val="uk-UA"/>
              </w:rPr>
            </w:pPr>
          </w:p>
        </w:tc>
        <w:tc>
          <w:tcPr>
            <w:tcW w:w="990" w:type="dxa"/>
          </w:tcPr>
          <w:p w:rsidR="00195B36" w:rsidRPr="000E3117" w:rsidRDefault="00195B36" w:rsidP="00827E25">
            <w:pPr>
              <w:rPr>
                <w:rFonts w:ascii="Times New Roman" w:hAnsi="Times New Roman" w:cs="Times New Roman"/>
                <w:sz w:val="20"/>
                <w:szCs w:val="20"/>
                <w:lang w:val="uk-UA"/>
              </w:rPr>
            </w:pPr>
          </w:p>
        </w:tc>
        <w:tc>
          <w:tcPr>
            <w:tcW w:w="990" w:type="dxa"/>
          </w:tcPr>
          <w:p w:rsidR="00195B36" w:rsidRPr="000E3117" w:rsidRDefault="00195B36" w:rsidP="00B53FFA">
            <w:pPr>
              <w:rPr>
                <w:rFonts w:ascii="Times New Roman" w:hAnsi="Times New Roman" w:cs="Times New Roman"/>
                <w:sz w:val="20"/>
                <w:szCs w:val="20"/>
                <w:lang w:val="uk-UA"/>
              </w:rPr>
            </w:pPr>
            <w:r>
              <w:rPr>
                <w:rFonts w:ascii="Times New Roman" w:hAnsi="Times New Roman" w:cs="Times New Roman"/>
                <w:sz w:val="20"/>
                <w:szCs w:val="20"/>
                <w:lang w:val="uk-UA"/>
              </w:rPr>
              <w:t xml:space="preserve"> 6</w:t>
            </w:r>
            <w:r w:rsidRPr="000E3117">
              <w:rPr>
                <w:rFonts w:ascii="Times New Roman" w:hAnsi="Times New Roman" w:cs="Times New Roman"/>
                <w:sz w:val="20"/>
                <w:szCs w:val="20"/>
                <w:lang w:val="uk-UA"/>
              </w:rPr>
              <w:t>00,0</w:t>
            </w:r>
          </w:p>
        </w:tc>
        <w:tc>
          <w:tcPr>
            <w:tcW w:w="1350" w:type="dxa"/>
          </w:tcPr>
          <w:p w:rsidR="00195B36" w:rsidRPr="000E3117" w:rsidRDefault="00195B36" w:rsidP="00827E25">
            <w:pPr>
              <w:rPr>
                <w:rFonts w:ascii="Times New Roman" w:hAnsi="Times New Roman" w:cs="Times New Roman"/>
                <w:sz w:val="20"/>
                <w:szCs w:val="20"/>
                <w:lang w:val="uk-UA"/>
              </w:rPr>
            </w:pPr>
          </w:p>
        </w:tc>
        <w:tc>
          <w:tcPr>
            <w:tcW w:w="2628" w:type="dxa"/>
          </w:tcPr>
          <w:p w:rsidR="00195B36" w:rsidRPr="0092254A" w:rsidRDefault="00195B36" w:rsidP="00827E25">
            <w:pPr>
              <w:jc w:val="both"/>
              <w:rPr>
                <w:rFonts w:ascii="Times New Roman" w:hAnsi="Times New Roman" w:cs="Times New Roman"/>
                <w:snapToGrid w:val="0"/>
                <w:sz w:val="20"/>
                <w:szCs w:val="20"/>
                <w:lang w:val="uk-UA"/>
              </w:rPr>
            </w:pPr>
            <w:r w:rsidRPr="0092254A">
              <w:rPr>
                <w:rFonts w:ascii="Times New Roman" w:hAnsi="Times New Roman" w:cs="Times New Roman"/>
                <w:snapToGrid w:val="0"/>
                <w:sz w:val="20"/>
                <w:szCs w:val="20"/>
                <w:lang w:val="uk-UA"/>
              </w:rPr>
              <w:t xml:space="preserve">Фінансове управління райдержадміністрації, районна рада, сільські ради </w:t>
            </w:r>
          </w:p>
          <w:p w:rsidR="00195B36" w:rsidRPr="0092254A" w:rsidRDefault="00195B36" w:rsidP="00827E25">
            <w:pPr>
              <w:ind w:left="-108" w:right="-108"/>
              <w:jc w:val="both"/>
              <w:rPr>
                <w:rFonts w:ascii="Times New Roman" w:hAnsi="Times New Roman" w:cs="Times New Roman"/>
                <w:sz w:val="20"/>
                <w:szCs w:val="20"/>
                <w:lang w:val="uk-UA"/>
              </w:rPr>
            </w:pPr>
          </w:p>
        </w:tc>
      </w:tr>
    </w:tbl>
    <w:p w:rsidR="00195B36" w:rsidRPr="0092254A" w:rsidRDefault="00195B36" w:rsidP="00A65D61">
      <w:pPr>
        <w:spacing w:after="0" w:line="240" w:lineRule="auto"/>
        <w:rPr>
          <w:rFonts w:ascii="Times New Roman" w:hAnsi="Times New Roman" w:cs="Times New Roman"/>
          <w:b/>
          <w:bCs/>
          <w:kern w:val="24"/>
          <w:sz w:val="16"/>
          <w:szCs w:val="16"/>
          <w:lang w:val="uk-UA"/>
        </w:rPr>
      </w:pPr>
    </w:p>
    <w:p w:rsidR="00195B36" w:rsidRPr="00E972F1" w:rsidRDefault="00195B36" w:rsidP="00E972F1">
      <w:pPr>
        <w:spacing w:after="0" w:line="240" w:lineRule="auto"/>
        <w:jc w:val="center"/>
        <w:rPr>
          <w:rFonts w:ascii="Times New Roman" w:hAnsi="Times New Roman" w:cs="Times New Roman"/>
          <w:b/>
          <w:bCs/>
          <w:kern w:val="24"/>
          <w:sz w:val="28"/>
          <w:szCs w:val="28"/>
          <w:lang w:val="uk-UA"/>
        </w:rPr>
      </w:pPr>
      <w:r>
        <w:rPr>
          <w:rFonts w:ascii="Times New Roman" w:hAnsi="Times New Roman" w:cs="Times New Roman"/>
          <w:b/>
          <w:bCs/>
          <w:kern w:val="24"/>
          <w:sz w:val="28"/>
          <w:szCs w:val="28"/>
        </w:rPr>
        <w:t>_______________________________</w:t>
      </w:r>
    </w:p>
    <w:p w:rsidR="00195B36" w:rsidRDefault="00195B36" w:rsidP="00A65D61">
      <w:pPr>
        <w:spacing w:after="0" w:line="240" w:lineRule="auto"/>
        <w:rPr>
          <w:rFonts w:ascii="Times New Roman" w:hAnsi="Times New Roman" w:cs="Times New Roman"/>
          <w:color w:val="000000"/>
          <w:kern w:val="36"/>
          <w:sz w:val="24"/>
          <w:szCs w:val="24"/>
          <w:lang w:val="uk-UA"/>
        </w:rPr>
        <w:sectPr w:rsidR="00195B36" w:rsidSect="000E3117">
          <w:pgSz w:w="16838" w:h="11906" w:orient="landscape"/>
          <w:pgMar w:top="719" w:right="567" w:bottom="180" w:left="1260" w:header="709" w:footer="709" w:gutter="0"/>
          <w:pgNumType w:start="0"/>
          <w:cols w:space="708"/>
          <w:titlePg/>
          <w:docGrid w:linePitch="360"/>
        </w:sectPr>
      </w:pPr>
    </w:p>
    <w:p w:rsidR="00195B36" w:rsidRPr="0092254A" w:rsidRDefault="00195B36" w:rsidP="00A65D61">
      <w:pPr>
        <w:spacing w:after="0" w:line="240" w:lineRule="auto"/>
        <w:rPr>
          <w:rFonts w:ascii="Times New Roman" w:hAnsi="Times New Roman" w:cs="Times New Roman"/>
          <w:color w:val="000000"/>
          <w:kern w:val="36"/>
          <w:sz w:val="24"/>
          <w:szCs w:val="24"/>
          <w:lang w:val="uk-UA"/>
        </w:rPr>
      </w:pPr>
    </w:p>
    <w:p w:rsidR="00195B36" w:rsidRPr="0092254A" w:rsidRDefault="00195B36" w:rsidP="0092254A">
      <w:pPr>
        <w:spacing w:after="0" w:line="240" w:lineRule="auto"/>
        <w:ind w:left="6480"/>
        <w:rPr>
          <w:rFonts w:ascii="Times New Roman" w:hAnsi="Times New Roman" w:cs="Times New Roman"/>
          <w:color w:val="000000"/>
          <w:kern w:val="36"/>
          <w:sz w:val="24"/>
          <w:szCs w:val="24"/>
          <w:lang w:val="uk-UA" w:eastAsia="en-US"/>
        </w:rPr>
      </w:pPr>
      <w:r>
        <w:rPr>
          <w:rFonts w:ascii="Times New Roman" w:hAnsi="Times New Roman" w:cs="Times New Roman"/>
          <w:color w:val="000000"/>
          <w:kern w:val="36"/>
          <w:sz w:val="24"/>
          <w:szCs w:val="24"/>
        </w:rPr>
        <w:t xml:space="preserve">Додаток </w:t>
      </w:r>
      <w:r>
        <w:rPr>
          <w:rFonts w:ascii="Times New Roman" w:hAnsi="Times New Roman" w:cs="Times New Roman"/>
          <w:color w:val="000000"/>
          <w:kern w:val="36"/>
          <w:sz w:val="24"/>
          <w:szCs w:val="24"/>
          <w:lang w:val="uk-UA"/>
        </w:rPr>
        <w:t>2</w:t>
      </w:r>
    </w:p>
    <w:p w:rsidR="00195B36" w:rsidRDefault="00195B36" w:rsidP="0092254A">
      <w:pPr>
        <w:tabs>
          <w:tab w:val="left" w:pos="1080"/>
        </w:tabs>
        <w:spacing w:after="0" w:line="240" w:lineRule="auto"/>
        <w:ind w:left="6480"/>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до рішення сесії районної ради</w:t>
      </w:r>
    </w:p>
    <w:p w:rsidR="00195B36" w:rsidRPr="008934BB" w:rsidRDefault="00195B36" w:rsidP="0092254A">
      <w:pPr>
        <w:tabs>
          <w:tab w:val="left" w:pos="1080"/>
        </w:tabs>
        <w:spacing w:after="0" w:line="240" w:lineRule="auto"/>
        <w:ind w:left="6480"/>
        <w:rPr>
          <w:rFonts w:ascii="Times New Roman" w:hAnsi="Times New Roman" w:cs="Times New Roman"/>
          <w:color w:val="000000"/>
          <w:kern w:val="36"/>
          <w:sz w:val="24"/>
          <w:szCs w:val="24"/>
          <w:lang w:val="uk-UA"/>
        </w:rPr>
      </w:pPr>
      <w:r>
        <w:rPr>
          <w:rFonts w:ascii="Times New Roman" w:hAnsi="Times New Roman" w:cs="Times New Roman"/>
          <w:color w:val="000000"/>
          <w:kern w:val="36"/>
          <w:sz w:val="24"/>
          <w:szCs w:val="24"/>
          <w:lang w:val="uk-UA"/>
        </w:rPr>
        <w:t>від «19» червня 2020</w:t>
      </w:r>
      <w:r>
        <w:rPr>
          <w:rFonts w:ascii="Times New Roman" w:hAnsi="Times New Roman" w:cs="Times New Roman"/>
          <w:color w:val="000000"/>
          <w:kern w:val="36"/>
          <w:sz w:val="24"/>
          <w:szCs w:val="24"/>
        </w:rPr>
        <w:t xml:space="preserve"> р</w:t>
      </w:r>
      <w:r>
        <w:rPr>
          <w:rFonts w:ascii="Times New Roman" w:hAnsi="Times New Roman" w:cs="Times New Roman"/>
          <w:color w:val="000000"/>
          <w:kern w:val="36"/>
          <w:sz w:val="24"/>
          <w:szCs w:val="24"/>
          <w:lang w:val="uk-UA"/>
        </w:rPr>
        <w:t>оку</w:t>
      </w:r>
      <w:r>
        <w:rPr>
          <w:rFonts w:ascii="Times New Roman" w:hAnsi="Times New Roman" w:cs="Times New Roman"/>
          <w:color w:val="000000"/>
          <w:kern w:val="36"/>
          <w:sz w:val="24"/>
          <w:szCs w:val="24"/>
        </w:rPr>
        <w:t xml:space="preserve"> №</w:t>
      </w:r>
      <w:r>
        <w:rPr>
          <w:rFonts w:ascii="Times New Roman" w:hAnsi="Times New Roman" w:cs="Times New Roman"/>
          <w:color w:val="000000"/>
          <w:kern w:val="36"/>
          <w:sz w:val="24"/>
          <w:szCs w:val="24"/>
          <w:lang w:val="uk-UA"/>
        </w:rPr>
        <w:t xml:space="preserve"> 601</w:t>
      </w:r>
    </w:p>
    <w:p w:rsidR="00195B36" w:rsidRDefault="00195B36" w:rsidP="0092254A">
      <w:pPr>
        <w:spacing w:after="0" w:line="240" w:lineRule="auto"/>
        <w:ind w:left="6480"/>
        <w:rPr>
          <w:rFonts w:ascii="Times New Roman" w:hAnsi="Times New Roman" w:cs="Times New Roman"/>
          <w:b/>
          <w:bCs/>
          <w:sz w:val="30"/>
          <w:szCs w:val="30"/>
        </w:rPr>
      </w:pPr>
    </w:p>
    <w:p w:rsidR="00195B36" w:rsidRDefault="00195B36" w:rsidP="00A65D6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ПАСПОРТ</w:t>
      </w:r>
    </w:p>
    <w:p w:rsidR="00195B36" w:rsidRPr="00646014" w:rsidRDefault="00195B36" w:rsidP="000E3117">
      <w:pPr>
        <w:spacing w:after="0" w:line="240" w:lineRule="auto"/>
        <w:ind w:left="360"/>
        <w:jc w:val="center"/>
        <w:rPr>
          <w:rFonts w:ascii="Times New Roman" w:hAnsi="Times New Roman" w:cs="Times New Roman"/>
          <w:b/>
          <w:bCs/>
          <w:color w:val="000000"/>
          <w:kern w:val="36"/>
          <w:sz w:val="28"/>
          <w:szCs w:val="28"/>
          <w:lang w:val="uk-UA"/>
        </w:rPr>
      </w:pPr>
      <w:r w:rsidRPr="00E10FE8">
        <w:rPr>
          <w:rFonts w:ascii="Times New Roman" w:hAnsi="Times New Roman" w:cs="Times New Roman"/>
          <w:b/>
          <w:bCs/>
          <w:color w:val="000000"/>
          <w:kern w:val="36"/>
          <w:sz w:val="28"/>
          <w:szCs w:val="28"/>
          <w:lang w:val="uk-UA"/>
        </w:rPr>
        <w:t>районної комплексної програми протидії злочинності,</w:t>
      </w:r>
      <w:r>
        <w:rPr>
          <w:rFonts w:ascii="Times New Roman" w:hAnsi="Times New Roman" w:cs="Times New Roman"/>
          <w:b/>
          <w:bCs/>
          <w:color w:val="000000"/>
          <w:kern w:val="36"/>
          <w:sz w:val="28"/>
          <w:szCs w:val="28"/>
          <w:lang w:val="uk-UA"/>
        </w:rPr>
        <w:t xml:space="preserve"> </w:t>
      </w:r>
      <w:r w:rsidRPr="00E10FE8">
        <w:rPr>
          <w:rFonts w:ascii="Times New Roman" w:hAnsi="Times New Roman" w:cs="Times New Roman"/>
          <w:b/>
          <w:bCs/>
          <w:color w:val="000000"/>
          <w:kern w:val="36"/>
          <w:sz w:val="28"/>
          <w:szCs w:val="28"/>
          <w:lang w:val="uk-UA"/>
        </w:rPr>
        <w:t>підтримання публічної безпеки і порядку на 2016-2020 роки</w:t>
      </w:r>
    </w:p>
    <w:p w:rsidR="00195B36" w:rsidRPr="0024080C" w:rsidRDefault="00195B36" w:rsidP="00A65D61">
      <w:pPr>
        <w:spacing w:after="0" w:line="240" w:lineRule="auto"/>
        <w:ind w:left="150"/>
        <w:jc w:val="center"/>
        <w:rPr>
          <w:rFonts w:ascii="Times New Roman" w:hAnsi="Times New Roman" w:cs="Times New Roman"/>
          <w:sz w:val="16"/>
          <w:szCs w:val="16"/>
          <w:lang w:val="uk-UA"/>
        </w:rPr>
      </w:pPr>
    </w:p>
    <w:tbl>
      <w:tblPr>
        <w:tblW w:w="10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3770"/>
        <w:gridCol w:w="6104"/>
      </w:tblGrid>
      <w:tr w:rsidR="00195B36" w:rsidRPr="00AF0A20">
        <w:tc>
          <w:tcPr>
            <w:tcW w:w="543" w:type="dxa"/>
          </w:tcPr>
          <w:p w:rsidR="00195B36" w:rsidRPr="00AB49F1" w:rsidRDefault="00195B36" w:rsidP="0024080C">
            <w:pPr>
              <w:spacing w:after="0" w:line="240" w:lineRule="auto"/>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1.</w:t>
            </w:r>
          </w:p>
        </w:tc>
        <w:tc>
          <w:tcPr>
            <w:tcW w:w="3777" w:type="dxa"/>
            <w:vAlign w:val="center"/>
          </w:tcPr>
          <w:p w:rsidR="00195B36" w:rsidRPr="00AB49F1" w:rsidRDefault="00195B36" w:rsidP="0024080C">
            <w:pPr>
              <w:spacing w:after="0" w:line="240" w:lineRule="auto"/>
              <w:jc w:val="both"/>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 xml:space="preserve">Програма затверджена </w:t>
            </w:r>
          </w:p>
        </w:tc>
        <w:tc>
          <w:tcPr>
            <w:tcW w:w="6120" w:type="dxa"/>
          </w:tcPr>
          <w:p w:rsidR="00195B36" w:rsidRPr="00AB49F1" w:rsidRDefault="00195B36" w:rsidP="0024080C">
            <w:pPr>
              <w:tabs>
                <w:tab w:val="left" w:pos="1080"/>
              </w:tabs>
              <w:spacing w:after="0" w:line="240" w:lineRule="auto"/>
              <w:rPr>
                <w:rFonts w:ascii="Times New Roman" w:hAnsi="Times New Roman" w:cs="Times New Roman"/>
                <w:sz w:val="28"/>
                <w:szCs w:val="28"/>
                <w:lang w:val="uk-UA"/>
              </w:rPr>
            </w:pPr>
            <w:r w:rsidRPr="00AB49F1">
              <w:rPr>
                <w:rFonts w:ascii="Times New Roman" w:hAnsi="Times New Roman" w:cs="Times New Roman"/>
                <w:sz w:val="28"/>
                <w:szCs w:val="28"/>
                <w:lang w:val="uk-UA"/>
              </w:rPr>
              <w:t>Рішенням сесії Кіровоградської районної ради від 08 квітня 2016 року № 54</w:t>
            </w:r>
          </w:p>
        </w:tc>
      </w:tr>
      <w:tr w:rsidR="00195B36" w:rsidRPr="00AF0A20">
        <w:tc>
          <w:tcPr>
            <w:tcW w:w="543" w:type="dxa"/>
          </w:tcPr>
          <w:p w:rsidR="00195B36" w:rsidRPr="00AB49F1" w:rsidRDefault="00195B36" w:rsidP="0024080C">
            <w:pPr>
              <w:spacing w:after="0" w:line="240" w:lineRule="auto"/>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2.</w:t>
            </w:r>
          </w:p>
        </w:tc>
        <w:tc>
          <w:tcPr>
            <w:tcW w:w="3777" w:type="dxa"/>
            <w:vAlign w:val="center"/>
          </w:tcPr>
          <w:p w:rsidR="00195B36" w:rsidRPr="00AB49F1" w:rsidRDefault="00195B36" w:rsidP="0024080C">
            <w:pPr>
              <w:spacing w:after="0" w:line="240" w:lineRule="auto"/>
              <w:jc w:val="both"/>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 xml:space="preserve">Ініціатор розробки програми </w:t>
            </w:r>
          </w:p>
        </w:tc>
        <w:tc>
          <w:tcPr>
            <w:tcW w:w="6120" w:type="dxa"/>
          </w:tcPr>
          <w:p w:rsidR="00195B36" w:rsidRPr="00AB49F1" w:rsidRDefault="00195B36" w:rsidP="0024080C">
            <w:pPr>
              <w:tabs>
                <w:tab w:val="left" w:pos="1080"/>
              </w:tabs>
              <w:spacing w:after="0" w:line="240" w:lineRule="auto"/>
              <w:rPr>
                <w:rFonts w:ascii="Times New Roman" w:hAnsi="Times New Roman" w:cs="Times New Roman"/>
                <w:sz w:val="28"/>
                <w:szCs w:val="28"/>
                <w:lang w:val="uk-UA"/>
              </w:rPr>
            </w:pPr>
            <w:r w:rsidRPr="00AB49F1">
              <w:rPr>
                <w:rFonts w:ascii="Times New Roman" w:hAnsi="Times New Roman" w:cs="Times New Roman"/>
                <w:sz w:val="28"/>
                <w:szCs w:val="28"/>
                <w:lang w:val="uk-UA"/>
              </w:rPr>
              <w:t>Кіровоградське районне відділення поліції Кропивницького відділу поліції ГУНП в області</w:t>
            </w:r>
          </w:p>
        </w:tc>
      </w:tr>
      <w:tr w:rsidR="00195B36" w:rsidRPr="0024080C">
        <w:tc>
          <w:tcPr>
            <w:tcW w:w="543" w:type="dxa"/>
          </w:tcPr>
          <w:p w:rsidR="00195B36" w:rsidRPr="00AB49F1" w:rsidRDefault="00195B36" w:rsidP="0024080C">
            <w:pPr>
              <w:spacing w:after="0" w:line="240" w:lineRule="auto"/>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3.</w:t>
            </w:r>
          </w:p>
        </w:tc>
        <w:tc>
          <w:tcPr>
            <w:tcW w:w="3777" w:type="dxa"/>
            <w:vAlign w:val="center"/>
          </w:tcPr>
          <w:p w:rsidR="00195B36" w:rsidRPr="00AB49F1" w:rsidRDefault="00195B36" w:rsidP="0024080C">
            <w:pPr>
              <w:spacing w:after="0" w:line="240" w:lineRule="auto"/>
              <w:jc w:val="both"/>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 xml:space="preserve">Дата, номер і назва рішення голови обласної ради про розроблення програми </w:t>
            </w:r>
          </w:p>
        </w:tc>
        <w:tc>
          <w:tcPr>
            <w:tcW w:w="6120" w:type="dxa"/>
          </w:tcPr>
          <w:p w:rsidR="00195B36" w:rsidRPr="00AB49F1" w:rsidRDefault="00195B36" w:rsidP="0024080C">
            <w:pPr>
              <w:tabs>
                <w:tab w:val="left" w:pos="1080"/>
              </w:tabs>
              <w:spacing w:after="0" w:line="240" w:lineRule="auto"/>
              <w:rPr>
                <w:rFonts w:ascii="Times New Roman" w:hAnsi="Times New Roman" w:cs="Times New Roman"/>
                <w:sz w:val="28"/>
                <w:szCs w:val="28"/>
                <w:lang w:val="uk-UA"/>
              </w:rPr>
            </w:pPr>
            <w:r w:rsidRPr="00AB49F1">
              <w:rPr>
                <w:rFonts w:ascii="Times New Roman" w:hAnsi="Times New Roman" w:cs="Times New Roman"/>
                <w:sz w:val="28"/>
                <w:szCs w:val="28"/>
                <w:lang w:val="uk-UA"/>
              </w:rPr>
              <w:t>18 листопада 2016, № 153, «Про затвердження Комплексної програми профілактики злочинності в Кіровоградської області на 2016-2020 роки»</w:t>
            </w:r>
          </w:p>
        </w:tc>
      </w:tr>
      <w:tr w:rsidR="00195B36" w:rsidRPr="00AF0A20">
        <w:tc>
          <w:tcPr>
            <w:tcW w:w="543" w:type="dxa"/>
          </w:tcPr>
          <w:p w:rsidR="00195B36" w:rsidRPr="00AB49F1" w:rsidRDefault="00195B36" w:rsidP="0024080C">
            <w:pPr>
              <w:spacing w:after="0" w:line="240" w:lineRule="auto"/>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4.</w:t>
            </w:r>
          </w:p>
        </w:tc>
        <w:tc>
          <w:tcPr>
            <w:tcW w:w="3777" w:type="dxa"/>
            <w:vAlign w:val="center"/>
          </w:tcPr>
          <w:p w:rsidR="00195B36" w:rsidRPr="00AB49F1" w:rsidRDefault="00195B36" w:rsidP="0024080C">
            <w:pPr>
              <w:spacing w:after="0" w:line="240" w:lineRule="auto"/>
              <w:jc w:val="both"/>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 xml:space="preserve">Розробник програми </w:t>
            </w:r>
          </w:p>
        </w:tc>
        <w:tc>
          <w:tcPr>
            <w:tcW w:w="6120" w:type="dxa"/>
          </w:tcPr>
          <w:p w:rsidR="00195B36" w:rsidRPr="00AB49F1" w:rsidRDefault="00195B36" w:rsidP="0024080C">
            <w:pPr>
              <w:tabs>
                <w:tab w:val="left" w:pos="1080"/>
              </w:tabs>
              <w:spacing w:after="0" w:line="240" w:lineRule="auto"/>
              <w:rPr>
                <w:rFonts w:ascii="Times New Roman" w:hAnsi="Times New Roman" w:cs="Times New Roman"/>
                <w:sz w:val="28"/>
                <w:szCs w:val="28"/>
                <w:lang w:val="uk-UA"/>
              </w:rPr>
            </w:pPr>
            <w:r w:rsidRPr="00AB49F1">
              <w:rPr>
                <w:rFonts w:ascii="Times New Roman" w:hAnsi="Times New Roman" w:cs="Times New Roman"/>
                <w:sz w:val="28"/>
                <w:szCs w:val="28"/>
                <w:lang w:val="uk-UA"/>
              </w:rPr>
              <w:t>Кіровоградське районне відділення поліції Кропивницького відділу поліції ГУНП в області</w:t>
            </w:r>
          </w:p>
        </w:tc>
      </w:tr>
      <w:tr w:rsidR="00195B36" w:rsidRPr="0024080C">
        <w:tc>
          <w:tcPr>
            <w:tcW w:w="543" w:type="dxa"/>
          </w:tcPr>
          <w:p w:rsidR="00195B36" w:rsidRPr="00AB49F1" w:rsidRDefault="00195B36" w:rsidP="0024080C">
            <w:pPr>
              <w:spacing w:after="0" w:line="240" w:lineRule="auto"/>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5.</w:t>
            </w:r>
          </w:p>
        </w:tc>
        <w:tc>
          <w:tcPr>
            <w:tcW w:w="3777" w:type="dxa"/>
            <w:vAlign w:val="center"/>
          </w:tcPr>
          <w:p w:rsidR="00195B36" w:rsidRPr="00AB49F1" w:rsidRDefault="00195B36" w:rsidP="0024080C">
            <w:pPr>
              <w:spacing w:after="0" w:line="240" w:lineRule="auto"/>
              <w:jc w:val="both"/>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 xml:space="preserve">Співрозробник програми  </w:t>
            </w:r>
          </w:p>
        </w:tc>
        <w:tc>
          <w:tcPr>
            <w:tcW w:w="6120" w:type="dxa"/>
          </w:tcPr>
          <w:p w:rsidR="00195B36" w:rsidRPr="00AB49F1" w:rsidRDefault="00195B36" w:rsidP="0024080C">
            <w:pPr>
              <w:tabs>
                <w:tab w:val="left" w:pos="1080"/>
              </w:tabs>
              <w:spacing w:after="0" w:line="240" w:lineRule="auto"/>
              <w:rPr>
                <w:rFonts w:ascii="Times New Roman" w:hAnsi="Times New Roman" w:cs="Times New Roman"/>
                <w:sz w:val="28"/>
                <w:szCs w:val="28"/>
                <w:lang w:val="uk-UA"/>
              </w:rPr>
            </w:pPr>
            <w:r w:rsidRPr="00AB49F1">
              <w:rPr>
                <w:rFonts w:ascii="Times New Roman" w:hAnsi="Times New Roman" w:cs="Times New Roman"/>
                <w:sz w:val="28"/>
                <w:szCs w:val="28"/>
                <w:lang w:val="uk-UA"/>
              </w:rPr>
              <w:t>Кіровоградська районна державна адміністрація</w:t>
            </w:r>
          </w:p>
        </w:tc>
      </w:tr>
      <w:tr w:rsidR="00195B36" w:rsidRPr="00AF0A20">
        <w:tc>
          <w:tcPr>
            <w:tcW w:w="543" w:type="dxa"/>
          </w:tcPr>
          <w:p w:rsidR="00195B36" w:rsidRPr="00AB49F1" w:rsidRDefault="00195B36" w:rsidP="0024080C">
            <w:pPr>
              <w:spacing w:after="0" w:line="240" w:lineRule="auto"/>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6.</w:t>
            </w:r>
          </w:p>
        </w:tc>
        <w:tc>
          <w:tcPr>
            <w:tcW w:w="3777" w:type="dxa"/>
            <w:vAlign w:val="center"/>
          </w:tcPr>
          <w:p w:rsidR="00195B36" w:rsidRPr="00AB49F1" w:rsidRDefault="00195B36" w:rsidP="0024080C">
            <w:pPr>
              <w:spacing w:after="0" w:line="240" w:lineRule="auto"/>
              <w:jc w:val="both"/>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 xml:space="preserve">Відповідальний виконавець програми </w:t>
            </w:r>
          </w:p>
        </w:tc>
        <w:tc>
          <w:tcPr>
            <w:tcW w:w="6120" w:type="dxa"/>
          </w:tcPr>
          <w:p w:rsidR="00195B36" w:rsidRPr="00AB49F1" w:rsidRDefault="00195B36" w:rsidP="0024080C">
            <w:pPr>
              <w:tabs>
                <w:tab w:val="left" w:pos="1080"/>
              </w:tabs>
              <w:spacing w:after="0" w:line="240" w:lineRule="auto"/>
              <w:rPr>
                <w:rFonts w:ascii="Times New Roman" w:hAnsi="Times New Roman" w:cs="Times New Roman"/>
                <w:sz w:val="28"/>
                <w:szCs w:val="28"/>
                <w:lang w:val="uk-UA"/>
              </w:rPr>
            </w:pPr>
            <w:r w:rsidRPr="00AB49F1">
              <w:rPr>
                <w:rFonts w:ascii="Times New Roman" w:hAnsi="Times New Roman" w:cs="Times New Roman"/>
                <w:sz w:val="28"/>
                <w:szCs w:val="28"/>
                <w:lang w:val="uk-UA"/>
              </w:rPr>
              <w:t>Кіровоградське районне відділення поліції Кропивницького відділу поліції ГУНП в області</w:t>
            </w:r>
          </w:p>
        </w:tc>
      </w:tr>
      <w:tr w:rsidR="00195B36" w:rsidRPr="00AF0A20">
        <w:tc>
          <w:tcPr>
            <w:tcW w:w="543" w:type="dxa"/>
          </w:tcPr>
          <w:p w:rsidR="00195B36" w:rsidRDefault="00195B36" w:rsidP="0024080C">
            <w:pPr>
              <w:spacing w:after="0" w:line="240" w:lineRule="auto"/>
              <w:rPr>
                <w:rFonts w:ascii="Times New Roman" w:hAnsi="Times New Roman" w:cs="Times New Roman"/>
                <w:b/>
                <w:bCs/>
                <w:sz w:val="28"/>
                <w:szCs w:val="28"/>
                <w:lang w:val="uk-UA"/>
              </w:rPr>
            </w:pPr>
          </w:p>
          <w:p w:rsidR="00195B36" w:rsidRPr="00AB49F1" w:rsidRDefault="00195B36" w:rsidP="0024080C">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7.</w:t>
            </w:r>
          </w:p>
        </w:tc>
        <w:tc>
          <w:tcPr>
            <w:tcW w:w="3777" w:type="dxa"/>
            <w:vAlign w:val="center"/>
          </w:tcPr>
          <w:p w:rsidR="00195B36" w:rsidRPr="00AB49F1" w:rsidRDefault="00195B36" w:rsidP="0024080C">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Учасники програми</w:t>
            </w:r>
          </w:p>
        </w:tc>
        <w:tc>
          <w:tcPr>
            <w:tcW w:w="6120" w:type="dxa"/>
          </w:tcPr>
          <w:p w:rsidR="00195B36" w:rsidRPr="00AB49F1" w:rsidRDefault="00195B36" w:rsidP="0024080C">
            <w:pPr>
              <w:tabs>
                <w:tab w:val="left" w:pos="1080"/>
              </w:tabs>
              <w:spacing w:after="0" w:line="240" w:lineRule="auto"/>
              <w:rPr>
                <w:rFonts w:ascii="Times New Roman" w:hAnsi="Times New Roman" w:cs="Times New Roman"/>
                <w:sz w:val="28"/>
                <w:szCs w:val="28"/>
                <w:lang w:val="uk-UA"/>
              </w:rPr>
            </w:pPr>
            <w:r w:rsidRPr="00AB49F1">
              <w:rPr>
                <w:rFonts w:ascii="Times New Roman" w:hAnsi="Times New Roman" w:cs="Times New Roman"/>
                <w:sz w:val="28"/>
                <w:szCs w:val="28"/>
                <w:lang w:val="uk-UA"/>
              </w:rPr>
              <w:t xml:space="preserve">Кіровоградське районне відділення поліції Кропивницького відділу поліції ГУНП в області, Кіровоградська районна державна адміністрація, сільські ради </w:t>
            </w:r>
          </w:p>
        </w:tc>
      </w:tr>
      <w:tr w:rsidR="00195B36" w:rsidRPr="0024080C">
        <w:tc>
          <w:tcPr>
            <w:tcW w:w="543" w:type="dxa"/>
          </w:tcPr>
          <w:p w:rsidR="00195B36" w:rsidRDefault="00195B36" w:rsidP="0024080C">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8.</w:t>
            </w:r>
          </w:p>
        </w:tc>
        <w:tc>
          <w:tcPr>
            <w:tcW w:w="3777" w:type="dxa"/>
            <w:vAlign w:val="center"/>
          </w:tcPr>
          <w:p w:rsidR="00195B36" w:rsidRDefault="00195B36" w:rsidP="0024080C">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Термін реалізації програми</w:t>
            </w:r>
          </w:p>
        </w:tc>
        <w:tc>
          <w:tcPr>
            <w:tcW w:w="6120" w:type="dxa"/>
          </w:tcPr>
          <w:p w:rsidR="00195B36" w:rsidRPr="00AB49F1" w:rsidRDefault="00195B36" w:rsidP="0024080C">
            <w:pPr>
              <w:tabs>
                <w:tab w:val="left" w:pos="10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2016-2020 роки</w:t>
            </w:r>
          </w:p>
        </w:tc>
      </w:tr>
      <w:tr w:rsidR="00195B36" w:rsidRPr="0024080C">
        <w:trPr>
          <w:trHeight w:val="1224"/>
        </w:trPr>
        <w:tc>
          <w:tcPr>
            <w:tcW w:w="543" w:type="dxa"/>
            <w:vMerge w:val="restart"/>
          </w:tcPr>
          <w:p w:rsidR="00195B36" w:rsidRDefault="00195B36" w:rsidP="0024080C">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9.</w:t>
            </w:r>
          </w:p>
        </w:tc>
        <w:tc>
          <w:tcPr>
            <w:tcW w:w="3777" w:type="dxa"/>
            <w:vAlign w:val="center"/>
          </w:tcPr>
          <w:p w:rsidR="00195B36" w:rsidRDefault="00195B36" w:rsidP="0024080C">
            <w:pPr>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Обсяг фінансових ресурсів, необхідних для реалізації програми, усього, у тому числі:</w:t>
            </w:r>
          </w:p>
        </w:tc>
        <w:tc>
          <w:tcPr>
            <w:tcW w:w="6120" w:type="dxa"/>
          </w:tcPr>
          <w:p w:rsidR="00195B36" w:rsidRPr="000E3117" w:rsidRDefault="00195B36" w:rsidP="00E90390">
            <w:pPr>
              <w:tabs>
                <w:tab w:val="left" w:pos="10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1200,0</w:t>
            </w:r>
            <w:r w:rsidRPr="000E3117">
              <w:rPr>
                <w:rFonts w:ascii="Times New Roman" w:hAnsi="Times New Roman" w:cs="Times New Roman"/>
                <w:sz w:val="28"/>
                <w:szCs w:val="28"/>
                <w:lang w:val="uk-UA"/>
              </w:rPr>
              <w:t xml:space="preserve"> тис. грн.</w:t>
            </w:r>
          </w:p>
        </w:tc>
      </w:tr>
      <w:tr w:rsidR="00195B36" w:rsidRPr="0024080C">
        <w:trPr>
          <w:trHeight w:val="374"/>
        </w:trPr>
        <w:tc>
          <w:tcPr>
            <w:tcW w:w="543" w:type="dxa"/>
            <w:vMerge/>
          </w:tcPr>
          <w:p w:rsidR="00195B36" w:rsidRDefault="00195B36" w:rsidP="0024080C">
            <w:pPr>
              <w:spacing w:after="0" w:line="240" w:lineRule="auto"/>
              <w:rPr>
                <w:rFonts w:ascii="Times New Roman" w:hAnsi="Times New Roman" w:cs="Times New Roman"/>
                <w:b/>
                <w:bCs/>
                <w:sz w:val="28"/>
                <w:szCs w:val="28"/>
                <w:lang w:val="uk-UA"/>
              </w:rPr>
            </w:pPr>
          </w:p>
        </w:tc>
        <w:tc>
          <w:tcPr>
            <w:tcW w:w="3777" w:type="dxa"/>
            <w:vAlign w:val="center"/>
          </w:tcPr>
          <w:p w:rsidR="00195B36" w:rsidRPr="000E3117" w:rsidRDefault="00195B36" w:rsidP="0024080C">
            <w:pPr>
              <w:jc w:val="both"/>
              <w:rPr>
                <w:rFonts w:ascii="Times New Roman" w:hAnsi="Times New Roman" w:cs="Times New Roman"/>
                <w:b/>
                <w:bCs/>
                <w:sz w:val="28"/>
                <w:szCs w:val="28"/>
                <w:lang w:val="uk-UA"/>
              </w:rPr>
            </w:pPr>
            <w:r w:rsidRPr="000E3117">
              <w:rPr>
                <w:rFonts w:ascii="Times New Roman" w:hAnsi="Times New Roman" w:cs="Times New Roman"/>
                <w:b/>
                <w:bCs/>
                <w:sz w:val="28"/>
                <w:szCs w:val="28"/>
                <w:lang w:val="uk-UA"/>
              </w:rPr>
              <w:t>кошти районного бюджету</w:t>
            </w:r>
          </w:p>
        </w:tc>
        <w:tc>
          <w:tcPr>
            <w:tcW w:w="6120" w:type="dxa"/>
          </w:tcPr>
          <w:p w:rsidR="00195B36" w:rsidRPr="000E3117" w:rsidRDefault="00195B36" w:rsidP="003F47C2">
            <w:pPr>
              <w:tabs>
                <w:tab w:val="left" w:pos="1080"/>
              </w:tabs>
              <w:rPr>
                <w:rFonts w:ascii="Times New Roman" w:hAnsi="Times New Roman" w:cs="Times New Roman"/>
                <w:sz w:val="28"/>
                <w:szCs w:val="28"/>
                <w:lang w:val="uk-UA"/>
              </w:rPr>
            </w:pPr>
            <w:r>
              <w:rPr>
                <w:rFonts w:ascii="Times New Roman" w:hAnsi="Times New Roman" w:cs="Times New Roman"/>
                <w:sz w:val="28"/>
                <w:szCs w:val="28"/>
                <w:lang w:val="uk-UA"/>
              </w:rPr>
              <w:t>1200,0</w:t>
            </w:r>
            <w:r w:rsidRPr="000E3117">
              <w:rPr>
                <w:rFonts w:ascii="Times New Roman" w:hAnsi="Times New Roman" w:cs="Times New Roman"/>
                <w:sz w:val="28"/>
                <w:szCs w:val="28"/>
                <w:lang w:val="uk-UA"/>
              </w:rPr>
              <w:t xml:space="preserve"> тис. грн.</w:t>
            </w:r>
            <w:bookmarkStart w:id="0" w:name="_GoBack"/>
            <w:bookmarkEnd w:id="0"/>
          </w:p>
        </w:tc>
      </w:tr>
      <w:tr w:rsidR="00195B36" w:rsidRPr="0024080C">
        <w:tc>
          <w:tcPr>
            <w:tcW w:w="543" w:type="dxa"/>
          </w:tcPr>
          <w:p w:rsidR="00195B36" w:rsidRDefault="00195B36" w:rsidP="0024080C">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10.</w:t>
            </w:r>
          </w:p>
        </w:tc>
        <w:tc>
          <w:tcPr>
            <w:tcW w:w="3777" w:type="dxa"/>
            <w:vAlign w:val="center"/>
          </w:tcPr>
          <w:p w:rsidR="00195B36" w:rsidRDefault="00195B36" w:rsidP="0024080C">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Основні джерела фінансування</w:t>
            </w:r>
          </w:p>
        </w:tc>
        <w:tc>
          <w:tcPr>
            <w:tcW w:w="6120" w:type="dxa"/>
          </w:tcPr>
          <w:p w:rsidR="00195B36" w:rsidRPr="00AB49F1" w:rsidRDefault="00195B36" w:rsidP="0024080C">
            <w:pPr>
              <w:tabs>
                <w:tab w:val="left" w:pos="1080"/>
              </w:tabs>
              <w:spacing w:after="0" w:line="240" w:lineRule="auto"/>
              <w:rPr>
                <w:rFonts w:ascii="Times New Roman" w:hAnsi="Times New Roman" w:cs="Times New Roman"/>
                <w:sz w:val="28"/>
                <w:szCs w:val="28"/>
                <w:lang w:val="uk-UA"/>
              </w:rPr>
            </w:pPr>
            <w:r w:rsidRPr="00AB49F1">
              <w:rPr>
                <w:rFonts w:ascii="Times New Roman" w:hAnsi="Times New Roman" w:cs="Times New Roman"/>
                <w:sz w:val="28"/>
                <w:szCs w:val="28"/>
                <w:lang w:val="uk-UA"/>
              </w:rPr>
              <w:t>Кошти районного бюджету та інші джерела, не заборонені чинним законодавством України</w:t>
            </w:r>
          </w:p>
        </w:tc>
      </w:tr>
    </w:tbl>
    <w:p w:rsidR="00195B36" w:rsidRPr="00AB49F1" w:rsidRDefault="00195B36" w:rsidP="00A65D61">
      <w:pPr>
        <w:rPr>
          <w:rFonts w:ascii="Times New Roman" w:hAnsi="Times New Roman" w:cs="Times New Roman"/>
          <w:sz w:val="24"/>
          <w:szCs w:val="24"/>
          <w:lang w:val="uk-UA"/>
        </w:rPr>
        <w:sectPr w:rsidR="00195B36" w:rsidRPr="00AB49F1" w:rsidSect="000E3117">
          <w:pgSz w:w="11906" w:h="16838"/>
          <w:pgMar w:top="567" w:right="289" w:bottom="1259" w:left="1260" w:header="709" w:footer="709" w:gutter="0"/>
          <w:pgNumType w:start="0"/>
          <w:cols w:space="708"/>
          <w:titlePg/>
          <w:docGrid w:linePitch="360"/>
        </w:sectPr>
      </w:pPr>
    </w:p>
    <w:p w:rsidR="00195B36" w:rsidRPr="00AB49F1" w:rsidRDefault="00195B36" w:rsidP="00A65D61">
      <w:pPr>
        <w:rPr>
          <w:rFonts w:ascii="Times New Roman" w:hAnsi="Times New Roman" w:cs="Times New Roman"/>
          <w:sz w:val="24"/>
          <w:szCs w:val="24"/>
          <w:lang w:val="uk-UA"/>
        </w:rPr>
      </w:pPr>
    </w:p>
    <w:sectPr w:rsidR="00195B36" w:rsidRPr="00AB49F1" w:rsidSect="0092254A">
      <w:pgSz w:w="16838" w:h="11906" w:orient="landscape"/>
      <w:pgMar w:top="540" w:right="567" w:bottom="180" w:left="1260" w:header="709" w:footer="709"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D61"/>
    <w:rsid w:val="00012F5E"/>
    <w:rsid w:val="000219BE"/>
    <w:rsid w:val="00022201"/>
    <w:rsid w:val="000E3117"/>
    <w:rsid w:val="000E4D80"/>
    <w:rsid w:val="000F424E"/>
    <w:rsid w:val="001801A2"/>
    <w:rsid w:val="00185E7E"/>
    <w:rsid w:val="00195B36"/>
    <w:rsid w:val="001D0118"/>
    <w:rsid w:val="001E4145"/>
    <w:rsid w:val="002202C7"/>
    <w:rsid w:val="0024080C"/>
    <w:rsid w:val="00267FC7"/>
    <w:rsid w:val="002806A3"/>
    <w:rsid w:val="002A3AFF"/>
    <w:rsid w:val="002A7058"/>
    <w:rsid w:val="002C1531"/>
    <w:rsid w:val="00377938"/>
    <w:rsid w:val="003F47C2"/>
    <w:rsid w:val="00417D24"/>
    <w:rsid w:val="004256DA"/>
    <w:rsid w:val="004E56C9"/>
    <w:rsid w:val="00572833"/>
    <w:rsid w:val="006335C6"/>
    <w:rsid w:val="00641830"/>
    <w:rsid w:val="00646014"/>
    <w:rsid w:val="006E2E75"/>
    <w:rsid w:val="00717815"/>
    <w:rsid w:val="007A25FE"/>
    <w:rsid w:val="007F1D7F"/>
    <w:rsid w:val="00827419"/>
    <w:rsid w:val="00827E25"/>
    <w:rsid w:val="00887098"/>
    <w:rsid w:val="008934BB"/>
    <w:rsid w:val="008E5C1E"/>
    <w:rsid w:val="0092254A"/>
    <w:rsid w:val="00962DE2"/>
    <w:rsid w:val="00A01C20"/>
    <w:rsid w:val="00A65D61"/>
    <w:rsid w:val="00AB49F1"/>
    <w:rsid w:val="00AC49E9"/>
    <w:rsid w:val="00AF0A20"/>
    <w:rsid w:val="00AF7F52"/>
    <w:rsid w:val="00B2081D"/>
    <w:rsid w:val="00B52A9E"/>
    <w:rsid w:val="00B53FFA"/>
    <w:rsid w:val="00C361BA"/>
    <w:rsid w:val="00C51972"/>
    <w:rsid w:val="00C956FC"/>
    <w:rsid w:val="00D312EA"/>
    <w:rsid w:val="00E10FE8"/>
    <w:rsid w:val="00E32EC7"/>
    <w:rsid w:val="00E90390"/>
    <w:rsid w:val="00E972F1"/>
    <w:rsid w:val="00ED1AD9"/>
    <w:rsid w:val="00F55598"/>
    <w:rsid w:val="00FB77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7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9">
    <w:name w:val="rvts9"/>
    <w:uiPriority w:val="99"/>
    <w:rsid w:val="00A65D61"/>
  </w:style>
  <w:style w:type="character" w:customStyle="1" w:styleId="apple-converted-space">
    <w:name w:val="apple-converted-space"/>
    <w:uiPriority w:val="99"/>
    <w:rsid w:val="00A65D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3</Pages>
  <Words>484</Words>
  <Characters>2765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Anton-U</dc:creator>
  <cp:keywords/>
  <dc:description/>
  <cp:lastModifiedBy>work1</cp:lastModifiedBy>
  <cp:revision>8</cp:revision>
  <cp:lastPrinted>2020-06-22T11:33:00Z</cp:lastPrinted>
  <dcterms:created xsi:type="dcterms:W3CDTF">2020-05-21T14:26:00Z</dcterms:created>
  <dcterms:modified xsi:type="dcterms:W3CDTF">2020-06-22T11:35:00Z</dcterms:modified>
</cp:coreProperties>
</file>