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3795" w:leader="none"/>
        </w:tabs>
        <w:spacing w:before="0" w:after="0" w:line="240"/>
        <w:ind w:right="0" w:left="0" w:firstLine="4828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  <w:t xml:space="preserve">ЗАТВЕРДЖЕНО</w:t>
      </w:r>
    </w:p>
    <w:p>
      <w:pPr>
        <w:tabs>
          <w:tab w:val="left" w:pos="3795" w:leader="none"/>
        </w:tabs>
        <w:spacing w:before="0" w:after="0" w:line="240"/>
        <w:ind w:right="0" w:left="0" w:firstLine="4828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16"/>
          <w:shd w:fill="auto" w:val="clear"/>
        </w:rPr>
      </w:pPr>
    </w:p>
    <w:p>
      <w:pPr>
        <w:tabs>
          <w:tab w:val="left" w:pos="3795" w:leader="none"/>
        </w:tabs>
        <w:spacing w:before="0" w:after="0" w:line="240"/>
        <w:ind w:right="0" w:left="0" w:firstLine="48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Рішення  сьомої сесії</w:t>
      </w:r>
    </w:p>
    <w:p>
      <w:pPr>
        <w:tabs>
          <w:tab w:val="left" w:pos="3795" w:leader="none"/>
        </w:tabs>
        <w:spacing w:before="0" w:after="0" w:line="240"/>
        <w:ind w:right="0" w:left="0" w:firstLine="48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сьомого скликання </w:t>
      </w:r>
    </w:p>
    <w:p>
      <w:pPr>
        <w:tabs>
          <w:tab w:val="left" w:pos="3795" w:leader="none"/>
        </w:tabs>
        <w:spacing w:before="0" w:after="0" w:line="240"/>
        <w:ind w:right="0" w:left="0" w:firstLine="48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Кіровоградської районної ради</w:t>
      </w:r>
    </w:p>
    <w:p>
      <w:pPr>
        <w:tabs>
          <w:tab w:val="left" w:pos="3795" w:leader="none"/>
        </w:tabs>
        <w:spacing w:before="0" w:after="0" w:line="240"/>
        <w:ind w:right="0" w:left="0" w:firstLine="4828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  <w:t xml:space="preserve"> «18»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  <w:t xml:space="preserve">серпня  2016 № 98</w:t>
      </w:r>
    </w:p>
    <w:p>
      <w:pPr>
        <w:spacing w:before="0" w:after="0" w:line="240"/>
        <w:ind w:right="0" w:left="0" w:firstLine="5529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Заходи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щодо забезпечення проведення конкурсу щодо визначення опорних шкіл серед загальноосвітніх навчальних закладів району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557"/>
        <w:gridCol w:w="3412"/>
        <w:gridCol w:w="2694"/>
        <w:gridCol w:w="1417"/>
        <w:gridCol w:w="1985"/>
      </w:tblGrid>
      <w:tr>
        <w:trPr>
          <w:trHeight w:val="276" w:hRule="auto"/>
          <w:jc w:val="left"/>
        </w:trPr>
        <w:tc>
          <w:tcPr>
            <w:tcW w:w="5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з/п</w:t>
            </w:r>
          </w:p>
        </w:tc>
        <w:tc>
          <w:tcPr>
            <w:tcW w:w="34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Заходи </w:t>
            </w:r>
          </w:p>
        </w:tc>
        <w:tc>
          <w:tcPr>
            <w:tcW w:w="26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Виконавець </w:t>
            </w:r>
          </w:p>
        </w:tc>
        <w:tc>
          <w:tcPr>
            <w:tcW w:w="141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Граничний термін виконання заходу</w:t>
            </w:r>
          </w:p>
        </w:tc>
        <w:tc>
          <w:tcPr>
            <w:tcW w:w="19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Примітки </w:t>
            </w:r>
          </w:p>
        </w:tc>
      </w:tr>
      <w:tr>
        <w:trPr>
          <w:trHeight w:val="276" w:hRule="auto"/>
          <w:jc w:val="left"/>
        </w:trPr>
        <w:tc>
          <w:tcPr>
            <w:tcW w:w="5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Довести до відома директорів загальноосвітніх навчальних закладів Умови проведення конкурсу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Відділ освіти, молоді та спорту райдержадміністрації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01.09.2016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Провести аналіз мережі загальноосвітніх навчальних закладів району 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Відділ освіти, молоді та спорту райдержадміністрації;конкурсна комісія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10.09.2016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Результати оформляються у формі довідки за підписом керівника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Вивчити стан впровадження допрофільної підготовки і профільного навчання в загальноосвітніх навчальних закладах та якість надання зазначених освітніх послуг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Відділ освіти, молоді та спорту райдержадміністрації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10.09.2016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Результати оформляються у формі довідки за підписом керівника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Здійснити прогноз витрат на зміцнення матеріально-технічної бази навчальних закладів (за необхідності), на придбання шкільних автобусів з метою організації підвезення учнів і педагогічних працівників до місця навчання, роботи та до місця проживання, потребу у введенні додаткових посад педагогічних працівників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Відділ освіти, молоді та спорту райдержадміністрації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15.09.2016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Результати оформляються у формі довідки за підписом керівника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Подати до відділу освіти, молоді та спорту райдержадміністрації інформаційні матеріали (об’ємом до 20 сторінок) щодо визначення результативності роботи навчального закладу за критеріями, встановленими в Умовах проведення конкурсу 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Директори загальноосвітніх навчальних закладів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15.09.2016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Інформація подається у формі інформаційної довідки за підписом директора загальноосвітнього навчального закладу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Оприлюднити в газеті Кіровоградської райдержадміністрації та районної ради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сайті Кіровоградської райдержадміністрації та районної ради інформацію про проведення конкурсу з графіком засідань конкурсної комісії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Конкурсна комісія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15.09.2016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Оформляється протоколом, що підписується усіма членами комісії.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Провести засідання конкурсної комісії з визначення опорних шкіл серед загальноосвітніх навчальних закладів району згідно з графіком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Конкурсна комісія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 20 по 23.09.2016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Оформляється протоколом, що підписується усіма членами комісії.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підставі отриманих матеріалів підвести підсумки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конкурсу та визначити загальноосвітні навчальні заклади, запропоновані до затвердження районній раді, як опорні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Конкурсна комісія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28.09.2016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Оформляється протоколом, що підписується усіма членами комісії.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Розробити та подати до районної ради проект рішення щодо створення освітнього округу шляхом об’єднання загальноосвітніх навчальних закладів                 у навчально-виховні об’єднання з урахуванням</w:t>
              <w:br/>
              <w:t xml:space="preserve">визначених опорних шкіл 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Відділ освіти, молоді та спорту райдержадміністрації, райдержадміністрація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30.09.2016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 рішення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Оприлюднити в газеті Кіровоградської райдержадміністрації та районної ради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сайті Кіровоградської районної ради та райдержадміністрації узагальнену інформацію про результати проведеного конкурсу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Конкурсна комісія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01.10.2016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